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37" w:rsidRDefault="00A75737" w:rsidP="00A75737">
      <w:pPr>
        <w:autoSpaceDE w:val="0"/>
        <w:autoSpaceDN w:val="0"/>
        <w:adjustRightInd w:val="0"/>
        <w:spacing w:after="0" w:line="240" w:lineRule="auto"/>
        <w:jc w:val="center"/>
        <w:rPr>
          <w:rFonts w:ascii="Arial" w:eastAsia="Batang" w:hAnsi="Arial" w:cs="Arial"/>
          <w:b/>
          <w:bCs/>
          <w:color w:val="000000"/>
          <w:sz w:val="28"/>
          <w:szCs w:val="28"/>
          <w:u w:val="single"/>
          <w:lang w:eastAsia="ko-KR"/>
        </w:rPr>
      </w:pPr>
      <w:bookmarkStart w:id="0" w:name="_GoBack"/>
      <w:bookmarkEnd w:id="0"/>
    </w:p>
    <w:p w:rsidR="00FC3D7F" w:rsidRDefault="00FC3D7F"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jc w:val="left"/>
      </w:pPr>
      <w:r>
        <w:t xml:space="preserve">          </w:t>
      </w:r>
      <w:r>
        <w:rPr>
          <w:noProof/>
          <w:lang w:eastAsia="en-GB"/>
        </w:rPr>
        <w:drawing>
          <wp:inline distT="0" distB="0" distL="0" distR="0" wp14:anchorId="4D0390E1" wp14:editId="1CD9DEA8">
            <wp:extent cx="1874520" cy="48940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2675" cy="488924"/>
                    </a:xfrm>
                    <a:prstGeom prst="rect">
                      <a:avLst/>
                    </a:prstGeom>
                    <a:noFill/>
                  </pic:spPr>
                </pic:pic>
              </a:graphicData>
            </a:graphic>
          </wp:inline>
        </w:drawing>
      </w:r>
      <w:r>
        <w:t xml:space="preserve">               </w:t>
      </w:r>
      <w:r>
        <w:rPr>
          <w:noProof/>
          <w:lang w:eastAsia="en-GB"/>
        </w:rPr>
        <w:drawing>
          <wp:inline distT="0" distB="0" distL="0" distR="0" wp14:anchorId="2D902617">
            <wp:extent cx="2304415" cy="1042670"/>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15" cy="1042670"/>
                    </a:xfrm>
                    <a:prstGeom prst="rect">
                      <a:avLst/>
                    </a:prstGeom>
                    <a:noFill/>
                  </pic:spPr>
                </pic:pic>
              </a:graphicData>
            </a:graphic>
          </wp:inline>
        </w:drawing>
      </w:r>
    </w:p>
    <w:p w:rsidR="00564041" w:rsidRPr="00FC3D7F" w:rsidRDefault="00564041"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jc w:val="left"/>
        <w:rPr>
          <w:b w:val="0"/>
        </w:rPr>
      </w:pPr>
    </w:p>
    <w:p w:rsidR="00830C5A" w:rsidRPr="001408BE" w:rsidRDefault="00FC3D7F" w:rsidP="00FC3D7F">
      <w:pPr>
        <w:pStyle w:val="Title"/>
        <w:pBdr>
          <w:top w:val="thinThickThinSmallGap" w:sz="24" w:space="1" w:color="auto"/>
          <w:left w:val="thinThickThinSmallGap" w:sz="24" w:space="4" w:color="auto"/>
          <w:bottom w:val="thinThickThinSmallGap" w:sz="24" w:space="27" w:color="auto"/>
          <w:right w:val="thinThickThinSmallGap" w:sz="24" w:space="5" w:color="auto"/>
        </w:pBdr>
        <w:tabs>
          <w:tab w:val="center" w:pos="4513"/>
          <w:tab w:val="right" w:pos="9026"/>
        </w:tabs>
        <w:jc w:val="left"/>
        <w:rPr>
          <w:sz w:val="44"/>
        </w:rPr>
      </w:pPr>
      <w:r>
        <w:rPr>
          <w:sz w:val="44"/>
        </w:rPr>
        <w:tab/>
      </w:r>
      <w:r w:rsidR="00830C5A">
        <w:rPr>
          <w:sz w:val="44"/>
        </w:rPr>
        <w:t xml:space="preserve">Shared Care </w:t>
      </w:r>
      <w:r w:rsidR="004B0232">
        <w:rPr>
          <w:sz w:val="44"/>
        </w:rPr>
        <w:t>Protocol</w:t>
      </w:r>
    </w:p>
    <w:p w:rsidR="00830C5A" w:rsidRDefault="00830C5A"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rPr>
          <w:sz w:val="36"/>
        </w:rPr>
      </w:pPr>
      <w:r>
        <w:rPr>
          <w:sz w:val="36"/>
        </w:rPr>
        <w:t>For</w:t>
      </w:r>
    </w:p>
    <w:p w:rsidR="001408BE" w:rsidRPr="00FE2FA7" w:rsidRDefault="001408BE" w:rsidP="00A8669F">
      <w:pPr>
        <w:pStyle w:val="Title"/>
        <w:pBdr>
          <w:top w:val="thinThickThinSmallGap" w:sz="24" w:space="1" w:color="auto"/>
          <w:left w:val="thinThickThinSmallGap" w:sz="24" w:space="4" w:color="auto"/>
          <w:bottom w:val="thinThickThinSmallGap" w:sz="24" w:space="27" w:color="auto"/>
          <w:right w:val="thinThickThinSmallGap" w:sz="24" w:space="5" w:color="auto"/>
        </w:pBdr>
        <w:rPr>
          <w:sz w:val="44"/>
        </w:rPr>
      </w:pPr>
      <w:r w:rsidRPr="00FE2FA7">
        <w:rPr>
          <w:sz w:val="44"/>
        </w:rPr>
        <w:t xml:space="preserve">Bicalutamide in the treatment </w:t>
      </w:r>
    </w:p>
    <w:p w:rsidR="00830C5A" w:rsidRPr="00FE2FA7"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rPr>
          <w:sz w:val="44"/>
        </w:rPr>
      </w:pPr>
      <w:r w:rsidRPr="00FE2FA7">
        <w:rPr>
          <w:sz w:val="44"/>
        </w:rPr>
        <w:t>of prostate cancer</w:t>
      </w:r>
    </w:p>
    <w:p w:rsidR="00830C5A" w:rsidRDefault="00830C5A" w:rsidP="00A8669F">
      <w:pPr>
        <w:pStyle w:val="Title"/>
        <w:pBdr>
          <w:top w:val="thinThickThinSmallGap" w:sz="24" w:space="1" w:color="auto"/>
          <w:left w:val="thinThickThinSmallGap" w:sz="24" w:space="4" w:color="auto"/>
          <w:bottom w:val="thinThickThinSmallGap" w:sz="24" w:space="27" w:color="auto"/>
          <w:right w:val="thinThickThinSmallGap" w:sz="24" w:space="5" w:color="auto"/>
        </w:pBdr>
        <w:jc w:val="left"/>
        <w:rPr>
          <w:u w:val="single"/>
        </w:rPr>
      </w:pPr>
      <w:r>
        <w:rPr>
          <w:sz w:val="32"/>
        </w:rPr>
        <w:tab/>
      </w:r>
      <w:r>
        <w:rPr>
          <w:sz w:val="32"/>
        </w:rPr>
        <w:tab/>
      </w:r>
    </w:p>
    <w:p w:rsidR="00830C5A" w:rsidRDefault="00830C5A" w:rsidP="00A8669F">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32"/>
        </w:rPr>
      </w:pPr>
      <w:r>
        <w:rPr>
          <w:sz w:val="32"/>
        </w:rPr>
        <w:t xml:space="preserve">Shared care </w:t>
      </w:r>
      <w:r w:rsidR="00DD2861">
        <w:rPr>
          <w:sz w:val="32"/>
        </w:rPr>
        <w:t>guideline</w:t>
      </w:r>
      <w:r>
        <w:rPr>
          <w:sz w:val="32"/>
        </w:rPr>
        <w:t xml:space="preserve">:   </w:t>
      </w:r>
      <w:r>
        <w:rPr>
          <w:sz w:val="32"/>
        </w:rPr>
        <w:tab/>
      </w: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jc w:val="left"/>
        <w:rPr>
          <w:sz w:val="20"/>
          <w:szCs w:val="20"/>
        </w:rPr>
      </w:pPr>
      <w:r>
        <w:rPr>
          <w:sz w:val="32"/>
        </w:rPr>
        <w:t xml:space="preserve">       </w:t>
      </w:r>
      <w:r w:rsidRPr="00DD2861">
        <w:rPr>
          <w:sz w:val="20"/>
          <w:szCs w:val="20"/>
        </w:rPr>
        <w:t xml:space="preserve"> </w:t>
      </w:r>
      <w:r w:rsidR="00DD2861">
        <w:rPr>
          <w:sz w:val="20"/>
          <w:szCs w:val="20"/>
        </w:rPr>
        <w:t xml:space="preserve"> </w:t>
      </w:r>
      <w:r w:rsidR="00DD2861" w:rsidRPr="00DD2861">
        <w:rPr>
          <w:sz w:val="20"/>
          <w:szCs w:val="20"/>
        </w:rPr>
        <w:t>Originally</w:t>
      </w:r>
      <w:r w:rsidR="00DD2861">
        <w:rPr>
          <w:sz w:val="32"/>
        </w:rPr>
        <w:t xml:space="preserve"> </w:t>
      </w:r>
      <w:r w:rsidRPr="00B27624">
        <w:rPr>
          <w:sz w:val="20"/>
          <w:szCs w:val="20"/>
        </w:rPr>
        <w:t xml:space="preserve">Written By:  </w:t>
      </w: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sidRPr="00B27624">
        <w:rPr>
          <w:sz w:val="20"/>
          <w:szCs w:val="20"/>
        </w:rPr>
        <w:t>Mr J Leveckis, Consultant Urological Surgeon,</w:t>
      </w: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sidRPr="00B27624">
        <w:rPr>
          <w:sz w:val="20"/>
          <w:szCs w:val="20"/>
        </w:rPr>
        <w:t>Doncaster &amp; Bassetlaw Hospitals NHS Foundation Trust. January 2012</w:t>
      </w:r>
    </w:p>
    <w:p w:rsidR="001408BE" w:rsidRPr="00B27624" w:rsidRDefault="00DD2861"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Pr>
          <w:sz w:val="20"/>
          <w:szCs w:val="20"/>
        </w:rPr>
        <w:t xml:space="preserve">Approved by: </w:t>
      </w:r>
      <w:r w:rsidRPr="00DD2861">
        <w:rPr>
          <w:sz w:val="20"/>
          <w:szCs w:val="20"/>
        </w:rPr>
        <w:t>Doncaster &amp; Bassetlaw Area Prescribing Committee January 2012</w:t>
      </w:r>
    </w:p>
    <w:p w:rsidR="00DD2861" w:rsidRDefault="00DD2861"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sidRPr="00B27624">
        <w:rPr>
          <w:sz w:val="20"/>
          <w:szCs w:val="20"/>
        </w:rPr>
        <w:t>Reviewed By:</w:t>
      </w: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sidRPr="00B27624">
        <w:rPr>
          <w:sz w:val="20"/>
          <w:szCs w:val="20"/>
        </w:rPr>
        <w:t xml:space="preserve">Mr J Leveckis, Consultant Urological Surgeon </w:t>
      </w: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sidRPr="00B27624">
        <w:rPr>
          <w:sz w:val="20"/>
          <w:szCs w:val="20"/>
        </w:rPr>
        <w:t>Ms T Soar Urological Specialist Nurse</w:t>
      </w: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sidRPr="00B27624">
        <w:rPr>
          <w:sz w:val="20"/>
          <w:szCs w:val="20"/>
        </w:rPr>
        <w:t>Doncaster &amp; Bassetlaw Hospitals NHS Foundation Trust February 2017</w:t>
      </w: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jc w:val="left"/>
        <w:rPr>
          <w:sz w:val="20"/>
          <w:szCs w:val="20"/>
        </w:rPr>
      </w:pPr>
      <w:r w:rsidRPr="00B27624">
        <w:rPr>
          <w:sz w:val="20"/>
          <w:szCs w:val="20"/>
        </w:rPr>
        <w:t xml:space="preserve">             Approved by: Doncaster &amp; Bassetlaw Area Prescribing Committee February 2017</w:t>
      </w: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p>
    <w:p w:rsidR="001408BE" w:rsidRPr="00B27624" w:rsidRDefault="00B27624"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Pr>
          <w:sz w:val="20"/>
          <w:szCs w:val="20"/>
        </w:rPr>
        <w:t>R</w:t>
      </w:r>
      <w:r w:rsidR="001408BE" w:rsidRPr="00B27624">
        <w:rPr>
          <w:sz w:val="20"/>
          <w:szCs w:val="20"/>
        </w:rPr>
        <w:t>eviewed by:</w:t>
      </w: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sidRPr="00B27624">
        <w:rPr>
          <w:sz w:val="20"/>
          <w:szCs w:val="20"/>
        </w:rPr>
        <w:t>Mrs G Bradley NHS Doncaster CCG Medicines Management Team</w:t>
      </w:r>
    </w:p>
    <w:p w:rsidR="001408BE"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sidRPr="00B27624">
        <w:rPr>
          <w:sz w:val="20"/>
          <w:szCs w:val="20"/>
        </w:rPr>
        <w:t>Ms T Soar Urological Specialist Nurse</w:t>
      </w:r>
    </w:p>
    <w:p w:rsidR="00830C5A" w:rsidRPr="00B27624" w:rsidRDefault="001408BE" w:rsidP="001408BE">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sidRPr="00B27624">
        <w:rPr>
          <w:sz w:val="20"/>
          <w:szCs w:val="20"/>
        </w:rPr>
        <w:t>Doncaster &amp; Bassetlaw Hospitals NHS Foundation Trust December 2018</w:t>
      </w:r>
    </w:p>
    <w:p w:rsidR="00830C5A" w:rsidRPr="00DD2861" w:rsidRDefault="00DD2861" w:rsidP="00DD2861">
      <w:pPr>
        <w:pStyle w:val="Title"/>
        <w:pBdr>
          <w:top w:val="thinThickThinSmallGap" w:sz="24" w:space="1" w:color="auto"/>
          <w:left w:val="thinThickThinSmallGap" w:sz="24" w:space="4" w:color="auto"/>
          <w:bottom w:val="thinThickThinSmallGap" w:sz="24" w:space="27" w:color="auto"/>
          <w:right w:val="thinThickThinSmallGap" w:sz="24" w:space="5" w:color="auto"/>
        </w:pBdr>
        <w:ind w:firstLine="720"/>
        <w:jc w:val="left"/>
        <w:rPr>
          <w:sz w:val="20"/>
          <w:szCs w:val="20"/>
        </w:rPr>
      </w:pPr>
      <w:r w:rsidRPr="00DD2861">
        <w:rPr>
          <w:sz w:val="20"/>
          <w:szCs w:val="20"/>
        </w:rPr>
        <w:t>Approved by: Doncaster &amp; Bassetlaw Area Pre</w:t>
      </w:r>
      <w:r>
        <w:rPr>
          <w:sz w:val="20"/>
          <w:szCs w:val="20"/>
        </w:rPr>
        <w:t xml:space="preserve">scribing Committee </w:t>
      </w:r>
      <w:r w:rsidR="004B0232">
        <w:rPr>
          <w:sz w:val="20"/>
          <w:szCs w:val="20"/>
        </w:rPr>
        <w:t>January 2019</w:t>
      </w:r>
    </w:p>
    <w:p w:rsidR="00830C5A" w:rsidRDefault="00830C5A" w:rsidP="00A8669F">
      <w:pPr>
        <w:pStyle w:val="Title"/>
        <w:pBdr>
          <w:top w:val="thinThickThinSmallGap" w:sz="24" w:space="1" w:color="auto"/>
          <w:left w:val="thinThickThinSmallGap" w:sz="24" w:space="4" w:color="auto"/>
          <w:bottom w:val="thinThickThinSmallGap" w:sz="24" w:space="27" w:color="auto"/>
          <w:right w:val="thinThickThinSmallGap" w:sz="24" w:space="5" w:color="auto"/>
        </w:pBdr>
        <w:jc w:val="left"/>
        <w:rPr>
          <w:sz w:val="32"/>
        </w:rPr>
      </w:pPr>
      <w:r>
        <w:rPr>
          <w:sz w:val="32"/>
        </w:rPr>
        <w:tab/>
      </w:r>
      <w:r>
        <w:rPr>
          <w:sz w:val="32"/>
        </w:rPr>
        <w:tab/>
      </w:r>
    </w:p>
    <w:p w:rsidR="00830C5A" w:rsidRDefault="00830C5A" w:rsidP="00A8669F">
      <w:pPr>
        <w:pStyle w:val="Title"/>
        <w:pBdr>
          <w:top w:val="thinThickThinSmallGap" w:sz="24" w:space="1" w:color="auto"/>
          <w:left w:val="thinThickThinSmallGap" w:sz="24" w:space="4" w:color="auto"/>
          <w:bottom w:val="thinThickThinSmallGap" w:sz="24" w:space="27" w:color="auto"/>
          <w:right w:val="thinThickThinSmallGap" w:sz="24" w:space="5" w:color="auto"/>
        </w:pBdr>
        <w:jc w:val="left"/>
        <w:rPr>
          <w:sz w:val="32"/>
        </w:rPr>
      </w:pPr>
    </w:p>
    <w:p w:rsidR="00830C5A" w:rsidRDefault="00830C5A" w:rsidP="00A8669F">
      <w:pPr>
        <w:pStyle w:val="Title"/>
        <w:pBdr>
          <w:top w:val="thinThickThinSmallGap" w:sz="24" w:space="1" w:color="auto"/>
          <w:left w:val="thinThickThinSmallGap" w:sz="24" w:space="4" w:color="auto"/>
          <w:bottom w:val="thinThickThinSmallGap" w:sz="24" w:space="27" w:color="auto"/>
          <w:right w:val="thinThickThinSmallGap" w:sz="24" w:space="5" w:color="auto"/>
        </w:pBdr>
        <w:jc w:val="left"/>
        <w:rPr>
          <w:sz w:val="32"/>
        </w:rPr>
      </w:pPr>
      <w:r>
        <w:rPr>
          <w:sz w:val="32"/>
        </w:rPr>
        <w:tab/>
        <w:t>Review Date:</w:t>
      </w:r>
      <w:r>
        <w:rPr>
          <w:sz w:val="32"/>
        </w:rPr>
        <w:tab/>
        <w:t>3 years from approval</w:t>
      </w:r>
      <w:r>
        <w:rPr>
          <w:sz w:val="32"/>
        </w:rPr>
        <w:tab/>
      </w:r>
      <w:r>
        <w:rPr>
          <w:sz w:val="32"/>
        </w:rPr>
        <w:tab/>
      </w:r>
    </w:p>
    <w:p w:rsidR="00830C5A" w:rsidRDefault="00830C5A" w:rsidP="00A8669F">
      <w:pPr>
        <w:pStyle w:val="Title"/>
        <w:pBdr>
          <w:top w:val="thinThickThinSmallGap" w:sz="24" w:space="1" w:color="auto"/>
          <w:left w:val="thinThickThinSmallGap" w:sz="24" w:space="4" w:color="auto"/>
          <w:bottom w:val="thinThickThinSmallGap" w:sz="24" w:space="27" w:color="auto"/>
          <w:right w:val="thinThickThinSmallGap" w:sz="24" w:space="5" w:color="auto"/>
        </w:pBdr>
      </w:pPr>
    </w:p>
    <w:p w:rsidR="00830C5A" w:rsidRDefault="00830C5A" w:rsidP="00A8669F">
      <w:pPr>
        <w:pStyle w:val="Title"/>
        <w:pBdr>
          <w:top w:val="thinThickThinSmallGap" w:sz="24" w:space="1" w:color="auto"/>
          <w:left w:val="thinThickThinSmallGap" w:sz="24" w:space="4" w:color="auto"/>
          <w:bottom w:val="thinThickThinSmallGap" w:sz="24" w:space="27" w:color="auto"/>
          <w:right w:val="thinThickThinSmallGap" w:sz="24" w:space="5" w:color="auto"/>
        </w:pBdr>
      </w:pPr>
    </w:p>
    <w:p w:rsidR="00830C5A" w:rsidRDefault="00830C5A" w:rsidP="00A8669F">
      <w:pPr>
        <w:pStyle w:val="Title"/>
        <w:pBdr>
          <w:top w:val="thinThickThinSmallGap" w:sz="24" w:space="1" w:color="auto"/>
          <w:left w:val="thinThickThinSmallGap" w:sz="24" w:space="4" w:color="auto"/>
          <w:bottom w:val="thinThickThinSmallGap" w:sz="24" w:space="27" w:color="auto"/>
          <w:right w:val="thinThickThinSmallGap" w:sz="24" w:space="5" w:color="auto"/>
        </w:pBdr>
      </w:pPr>
    </w:p>
    <w:p w:rsidR="00830C5A" w:rsidRPr="00BF7D64" w:rsidRDefault="00830C5A" w:rsidP="00DD2861">
      <w:pPr>
        <w:pStyle w:val="Title"/>
        <w:pBdr>
          <w:top w:val="thinThickThinSmallGap" w:sz="24" w:space="1" w:color="auto"/>
          <w:left w:val="thinThickThinSmallGap" w:sz="24" w:space="4" w:color="auto"/>
          <w:bottom w:val="thinThickThinSmallGap" w:sz="24" w:space="27" w:color="auto"/>
          <w:right w:val="thinThickThinSmallGap" w:sz="24" w:space="5" w:color="auto"/>
        </w:pBdr>
        <w:rPr>
          <w:b w:val="0"/>
        </w:rPr>
      </w:pPr>
    </w:p>
    <w:p w:rsidR="008C0E7B" w:rsidRPr="001408BE" w:rsidRDefault="00830C5A" w:rsidP="001A7644">
      <w:pPr>
        <w:pStyle w:val="Title"/>
        <w:pBdr>
          <w:top w:val="thinThickThinSmallGap" w:sz="24" w:space="1" w:color="auto"/>
          <w:left w:val="thinThickThinSmallGap" w:sz="24" w:space="4" w:color="auto"/>
          <w:bottom w:val="thinThickThinSmallGap" w:sz="24" w:space="27" w:color="auto"/>
          <w:right w:val="thinThickThinSmallGap" w:sz="24" w:space="5" w:color="auto"/>
        </w:pBdr>
        <w:rPr>
          <w:color w:val="FF0000"/>
          <w:sz w:val="44"/>
        </w:rPr>
      </w:pPr>
      <w:r>
        <w:rPr>
          <w:sz w:val="22"/>
          <w:szCs w:val="22"/>
        </w:rPr>
        <w:br w:type="page"/>
      </w:r>
    </w:p>
    <w:p w:rsidR="00830C5A" w:rsidRDefault="001A7644" w:rsidP="001A7644">
      <w:pPr>
        <w:pStyle w:val="Title"/>
        <w:rPr>
          <w:color w:val="000000"/>
        </w:rPr>
      </w:pPr>
      <w:r w:rsidRPr="001A7644">
        <w:rPr>
          <w:color w:val="000000"/>
        </w:rPr>
        <w:lastRenderedPageBreak/>
        <w:t>Bicalutamide in the treatment of prostate cancer</w:t>
      </w:r>
    </w:p>
    <w:p w:rsidR="001A7644" w:rsidRDefault="001A7644" w:rsidP="001A7644">
      <w:pPr>
        <w:pStyle w:val="Title"/>
        <w:jc w:val="left"/>
        <w:rPr>
          <w:color w:val="000000"/>
        </w:rPr>
      </w:pPr>
    </w:p>
    <w:p w:rsidR="00830C5A" w:rsidRDefault="00830C5A" w:rsidP="00830C5A">
      <w:pPr>
        <w:pStyle w:val="Title"/>
        <w:jc w:val="left"/>
        <w:rPr>
          <w:color w:val="000000"/>
        </w:rPr>
      </w:pPr>
      <w:r>
        <w:rPr>
          <w:color w:val="000000"/>
        </w:rPr>
        <w:t>Statement of Purpose</w:t>
      </w:r>
    </w:p>
    <w:p w:rsidR="00B27624" w:rsidRDefault="00B27624" w:rsidP="00830C5A">
      <w:pPr>
        <w:pStyle w:val="Title"/>
        <w:jc w:val="left"/>
        <w:rPr>
          <w:color w:val="000000"/>
        </w:rPr>
      </w:pPr>
    </w:p>
    <w:p w:rsidR="00830C5A" w:rsidRDefault="00830C5A" w:rsidP="00830C5A">
      <w:pPr>
        <w:pStyle w:val="Title"/>
        <w:jc w:val="left"/>
        <w:rPr>
          <w:b w:val="0"/>
          <w:color w:val="000000"/>
          <w:sz w:val="22"/>
          <w:szCs w:val="22"/>
        </w:rPr>
      </w:pPr>
      <w:r w:rsidRPr="001A7644">
        <w:rPr>
          <w:b w:val="0"/>
          <w:sz w:val="22"/>
          <w:szCs w:val="22"/>
        </w:rPr>
        <w:t xml:space="preserve">This shared care </w:t>
      </w:r>
      <w:r w:rsidR="00171DF6" w:rsidRPr="001A7644">
        <w:rPr>
          <w:b w:val="0"/>
          <w:sz w:val="22"/>
          <w:szCs w:val="22"/>
        </w:rPr>
        <w:t>guideline</w:t>
      </w:r>
      <w:r w:rsidRPr="001A7644">
        <w:rPr>
          <w:b w:val="0"/>
          <w:sz w:val="22"/>
          <w:szCs w:val="22"/>
        </w:rPr>
        <w:t xml:space="preserve"> (SC</w:t>
      </w:r>
      <w:r w:rsidR="00171DF6" w:rsidRPr="001A7644">
        <w:rPr>
          <w:b w:val="0"/>
          <w:sz w:val="22"/>
          <w:szCs w:val="22"/>
        </w:rPr>
        <w:t>G</w:t>
      </w:r>
      <w:r w:rsidRPr="001A7644">
        <w:rPr>
          <w:b w:val="0"/>
          <w:sz w:val="22"/>
          <w:szCs w:val="22"/>
        </w:rPr>
        <w:t xml:space="preserve">) has been written to enable the continuation of care by primary care clinicians of patients initiated on </w:t>
      </w:r>
      <w:r w:rsidR="001A7644" w:rsidRPr="001A7644">
        <w:rPr>
          <w:b w:val="0"/>
          <w:sz w:val="22"/>
          <w:szCs w:val="22"/>
        </w:rPr>
        <w:t xml:space="preserve">antiandrogen </w:t>
      </w:r>
      <w:r w:rsidR="00533281">
        <w:rPr>
          <w:b w:val="0"/>
          <w:sz w:val="22"/>
          <w:szCs w:val="22"/>
        </w:rPr>
        <w:t>b</w:t>
      </w:r>
      <w:r w:rsidR="001A7644" w:rsidRPr="001A7644">
        <w:rPr>
          <w:b w:val="0"/>
          <w:sz w:val="22"/>
          <w:szCs w:val="22"/>
        </w:rPr>
        <w:t>icalutamide in the treatment of prostate cancer</w:t>
      </w:r>
      <w:r w:rsidRPr="001A7644">
        <w:rPr>
          <w:b w:val="0"/>
          <w:sz w:val="22"/>
          <w:szCs w:val="22"/>
        </w:rPr>
        <w:t xml:space="preserve"> by the </w:t>
      </w:r>
      <w:r w:rsidR="001A7644" w:rsidRPr="001A7644">
        <w:rPr>
          <w:b w:val="0"/>
          <w:sz w:val="22"/>
          <w:szCs w:val="22"/>
        </w:rPr>
        <w:t xml:space="preserve">DBTHFT Secondary Care and transferred to Primary Care for continuation </w:t>
      </w:r>
      <w:r w:rsidR="00D23050" w:rsidRPr="001A7644">
        <w:rPr>
          <w:b w:val="0"/>
          <w:sz w:val="22"/>
          <w:szCs w:val="22"/>
        </w:rPr>
        <w:t>where this is appropriate and in the patients’ best interests</w:t>
      </w:r>
      <w:r w:rsidRPr="001A7644">
        <w:rPr>
          <w:b w:val="0"/>
          <w:sz w:val="22"/>
          <w:szCs w:val="22"/>
        </w:rPr>
        <w:t xml:space="preserve">. Primary care will only be requested to take over prescribing of </w:t>
      </w:r>
      <w:r w:rsidR="00533281">
        <w:rPr>
          <w:b w:val="0"/>
          <w:sz w:val="22"/>
          <w:szCs w:val="22"/>
        </w:rPr>
        <w:t>b</w:t>
      </w:r>
      <w:r w:rsidR="001A7644" w:rsidRPr="001A7644">
        <w:rPr>
          <w:b w:val="0"/>
          <w:sz w:val="22"/>
          <w:szCs w:val="22"/>
        </w:rPr>
        <w:t xml:space="preserve">icalutamide </w:t>
      </w:r>
      <w:r w:rsidRPr="001A7644">
        <w:rPr>
          <w:b w:val="0"/>
          <w:sz w:val="22"/>
          <w:szCs w:val="22"/>
        </w:rPr>
        <w:t>within its licensed indication unless specifically detailed otherwise below</w:t>
      </w:r>
      <w:r>
        <w:rPr>
          <w:b w:val="0"/>
          <w:color w:val="000000"/>
          <w:sz w:val="22"/>
          <w:szCs w:val="22"/>
        </w:rPr>
        <w:t>.</w:t>
      </w:r>
    </w:p>
    <w:p w:rsidR="00DD2861" w:rsidRDefault="00DD2861" w:rsidP="00830C5A">
      <w:pPr>
        <w:pStyle w:val="Title"/>
        <w:jc w:val="left"/>
        <w:rPr>
          <w:b w:val="0"/>
          <w:color w:val="000000"/>
          <w:sz w:val="22"/>
          <w:szCs w:val="22"/>
        </w:rPr>
      </w:pPr>
    </w:p>
    <w:p w:rsidR="00DD2861" w:rsidRDefault="00DD2861" w:rsidP="00830C5A">
      <w:pPr>
        <w:pStyle w:val="Title"/>
        <w:jc w:val="left"/>
        <w:rPr>
          <w:b w:val="0"/>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1495"/>
        <w:gridCol w:w="1863"/>
        <w:gridCol w:w="2127"/>
        <w:gridCol w:w="1984"/>
      </w:tblGrid>
      <w:tr w:rsidR="00DD2861" w:rsidRPr="00DD2861" w:rsidTr="00DD2861">
        <w:trPr>
          <w:cantSplit/>
        </w:trPr>
        <w:tc>
          <w:tcPr>
            <w:tcW w:w="1745" w:type="dxa"/>
            <w:tcBorders>
              <w:top w:val="nil"/>
              <w:left w:val="nil"/>
            </w:tcBorders>
          </w:tcPr>
          <w:p w:rsidR="00DD2861" w:rsidRPr="00DD2861" w:rsidRDefault="00DD2861" w:rsidP="00DD2861">
            <w:pPr>
              <w:spacing w:after="0" w:line="240" w:lineRule="auto"/>
              <w:rPr>
                <w:rFonts w:ascii="Tahoma" w:eastAsia="Times New Roman" w:hAnsi="Tahoma" w:cs="Tahoma"/>
                <w:szCs w:val="24"/>
              </w:rPr>
            </w:pPr>
          </w:p>
        </w:tc>
        <w:tc>
          <w:tcPr>
            <w:tcW w:w="7469" w:type="dxa"/>
            <w:gridSpan w:val="4"/>
          </w:tcPr>
          <w:p w:rsidR="00DD2861" w:rsidRPr="00DD2861" w:rsidRDefault="00DD2861" w:rsidP="00DD2861">
            <w:pPr>
              <w:spacing w:after="0" w:line="240" w:lineRule="auto"/>
              <w:jc w:val="center"/>
              <w:rPr>
                <w:rFonts w:ascii="Tahoma" w:eastAsia="Times New Roman" w:hAnsi="Tahoma" w:cs="Tahoma"/>
                <w:b/>
                <w:bCs/>
                <w:szCs w:val="24"/>
              </w:rPr>
            </w:pPr>
            <w:r w:rsidRPr="00DD2861">
              <w:rPr>
                <w:rFonts w:ascii="Tahoma" w:eastAsia="Times New Roman" w:hAnsi="Tahoma" w:cs="Tahoma"/>
                <w:b/>
                <w:bCs/>
                <w:szCs w:val="24"/>
              </w:rPr>
              <w:t>Traffic light system classification</w:t>
            </w:r>
          </w:p>
        </w:tc>
      </w:tr>
      <w:tr w:rsidR="00DD2861" w:rsidRPr="00DD2861" w:rsidTr="00DD2861">
        <w:tc>
          <w:tcPr>
            <w:tcW w:w="1745" w:type="dxa"/>
          </w:tcPr>
          <w:p w:rsidR="00DD2861" w:rsidRPr="00DD2861" w:rsidRDefault="00DD2861" w:rsidP="00DD2861">
            <w:pPr>
              <w:spacing w:before="240" w:after="60" w:line="240" w:lineRule="auto"/>
              <w:outlineLvl w:val="7"/>
              <w:rPr>
                <w:rFonts w:ascii="Arial" w:eastAsia="Times New Roman" w:hAnsi="Arial" w:cs="Arial"/>
                <w:iCs/>
                <w:sz w:val="24"/>
                <w:szCs w:val="24"/>
              </w:rPr>
            </w:pPr>
            <w:r w:rsidRPr="00DD2861">
              <w:rPr>
                <w:rFonts w:ascii="Arial" w:eastAsia="Times New Roman" w:hAnsi="Arial" w:cs="Arial"/>
                <w:iCs/>
                <w:sz w:val="24"/>
                <w:szCs w:val="24"/>
              </w:rPr>
              <w:t>Drug Class</w:t>
            </w:r>
          </w:p>
        </w:tc>
        <w:tc>
          <w:tcPr>
            <w:tcW w:w="1495" w:type="dxa"/>
          </w:tcPr>
          <w:p w:rsidR="00DD2861" w:rsidRPr="00DD2861" w:rsidRDefault="00DD2861" w:rsidP="00DD2861">
            <w:pPr>
              <w:spacing w:after="0" w:line="240" w:lineRule="auto"/>
              <w:jc w:val="center"/>
              <w:rPr>
                <w:rFonts w:ascii="Arial" w:eastAsia="Times New Roman" w:hAnsi="Arial" w:cs="Arial"/>
                <w:b/>
                <w:bCs/>
                <w:szCs w:val="24"/>
              </w:rPr>
            </w:pPr>
            <w:r w:rsidRPr="00DD2861">
              <w:rPr>
                <w:rFonts w:ascii="Arial" w:eastAsia="Times New Roman" w:hAnsi="Arial" w:cs="Arial"/>
                <w:b/>
                <w:bCs/>
                <w:szCs w:val="24"/>
              </w:rPr>
              <w:t>Green</w:t>
            </w:r>
          </w:p>
        </w:tc>
        <w:tc>
          <w:tcPr>
            <w:tcW w:w="1863" w:type="dxa"/>
            <w:tcBorders>
              <w:bottom w:val="single" w:sz="4" w:space="0" w:color="auto"/>
            </w:tcBorders>
          </w:tcPr>
          <w:p w:rsidR="00DD2861" w:rsidRPr="00DD2861" w:rsidRDefault="00DD2861" w:rsidP="00DD2861">
            <w:pPr>
              <w:spacing w:after="0" w:line="240" w:lineRule="auto"/>
              <w:jc w:val="center"/>
              <w:rPr>
                <w:rFonts w:ascii="Arial" w:eastAsia="Times New Roman" w:hAnsi="Arial" w:cs="Arial"/>
                <w:b/>
                <w:bCs/>
                <w:szCs w:val="24"/>
              </w:rPr>
            </w:pPr>
            <w:r w:rsidRPr="00DD2861">
              <w:rPr>
                <w:rFonts w:ascii="Arial" w:eastAsia="Times New Roman" w:hAnsi="Arial" w:cs="Arial"/>
                <w:b/>
                <w:bCs/>
                <w:szCs w:val="24"/>
              </w:rPr>
              <w:t>Amber</w:t>
            </w:r>
            <w:r w:rsidRPr="00DD2861">
              <w:rPr>
                <w:rFonts w:ascii="Arial" w:eastAsia="Times New Roman" w:hAnsi="Arial" w:cs="Arial"/>
                <w:b/>
                <w:bCs/>
                <w:szCs w:val="24"/>
                <w:vertAlign w:val="superscript"/>
              </w:rPr>
              <w:t>A</w:t>
            </w:r>
          </w:p>
        </w:tc>
        <w:tc>
          <w:tcPr>
            <w:tcW w:w="2127" w:type="dxa"/>
            <w:tcBorders>
              <w:bottom w:val="single" w:sz="4" w:space="0" w:color="auto"/>
            </w:tcBorders>
          </w:tcPr>
          <w:p w:rsidR="00DD2861" w:rsidRPr="00DD2861" w:rsidRDefault="00DD2861" w:rsidP="00DD2861">
            <w:pPr>
              <w:spacing w:after="0" w:line="240" w:lineRule="auto"/>
              <w:jc w:val="center"/>
              <w:rPr>
                <w:rFonts w:ascii="Arial" w:eastAsia="Times New Roman" w:hAnsi="Arial" w:cs="Arial"/>
                <w:b/>
                <w:bCs/>
                <w:szCs w:val="24"/>
              </w:rPr>
            </w:pPr>
            <w:r w:rsidRPr="00DD2861">
              <w:rPr>
                <w:rFonts w:ascii="Arial" w:eastAsia="Times New Roman" w:hAnsi="Arial" w:cs="Arial"/>
                <w:b/>
                <w:bCs/>
                <w:szCs w:val="24"/>
              </w:rPr>
              <w:t>Amber-G</w:t>
            </w:r>
            <w:r w:rsidRPr="00DD2861">
              <w:rPr>
                <w:rFonts w:ascii="Arial" w:eastAsia="Times New Roman" w:hAnsi="Arial" w:cs="Arial"/>
                <w:b/>
                <w:bCs/>
                <w:vertAlign w:val="superscript"/>
              </w:rPr>
              <w:t>AG</w:t>
            </w:r>
          </w:p>
        </w:tc>
        <w:tc>
          <w:tcPr>
            <w:tcW w:w="1984" w:type="dxa"/>
            <w:tcBorders>
              <w:bottom w:val="single" w:sz="4" w:space="0" w:color="auto"/>
            </w:tcBorders>
          </w:tcPr>
          <w:p w:rsidR="00DD2861" w:rsidRPr="00DD2861" w:rsidRDefault="00DD2861" w:rsidP="00DD2861">
            <w:pPr>
              <w:spacing w:after="0" w:line="240" w:lineRule="auto"/>
              <w:jc w:val="center"/>
              <w:rPr>
                <w:rFonts w:ascii="Arial" w:eastAsia="Times New Roman" w:hAnsi="Arial" w:cs="Arial"/>
                <w:b/>
                <w:bCs/>
                <w:szCs w:val="24"/>
              </w:rPr>
            </w:pPr>
            <w:r w:rsidRPr="00DD2861">
              <w:rPr>
                <w:rFonts w:ascii="Arial" w:eastAsia="Times New Roman" w:hAnsi="Arial" w:cs="Arial"/>
                <w:b/>
                <w:bCs/>
                <w:szCs w:val="24"/>
              </w:rPr>
              <w:t>Red</w:t>
            </w:r>
            <w:r w:rsidRPr="00DD2861">
              <w:rPr>
                <w:rFonts w:ascii="Arial" w:eastAsia="Times New Roman" w:hAnsi="Arial" w:cs="Arial"/>
                <w:b/>
                <w:bCs/>
                <w:szCs w:val="24"/>
                <w:vertAlign w:val="superscript"/>
              </w:rPr>
              <w:t>R</w:t>
            </w:r>
          </w:p>
        </w:tc>
      </w:tr>
      <w:tr w:rsidR="00DD2861" w:rsidRPr="00DD2861" w:rsidTr="00DD2861">
        <w:tc>
          <w:tcPr>
            <w:tcW w:w="1745" w:type="dxa"/>
          </w:tcPr>
          <w:p w:rsidR="00DD2861" w:rsidRPr="00DD2861" w:rsidRDefault="00DD2861" w:rsidP="00DD2861">
            <w:pPr>
              <w:spacing w:after="0" w:line="240" w:lineRule="auto"/>
              <w:rPr>
                <w:rFonts w:ascii="Arial" w:eastAsia="Times New Roman" w:hAnsi="Arial" w:cs="Arial"/>
                <w:szCs w:val="24"/>
              </w:rPr>
            </w:pPr>
            <w:r w:rsidRPr="00DD2861">
              <w:rPr>
                <w:rFonts w:ascii="Arial" w:eastAsia="Times New Roman" w:hAnsi="Arial" w:cs="Arial"/>
                <w:szCs w:val="24"/>
              </w:rPr>
              <w:t>Antiandrogen</w:t>
            </w:r>
          </w:p>
        </w:tc>
        <w:tc>
          <w:tcPr>
            <w:tcW w:w="1495" w:type="dxa"/>
            <w:shd w:val="clear" w:color="auto" w:fill="DDDDDD"/>
          </w:tcPr>
          <w:p w:rsidR="00DD2861" w:rsidRPr="00DD2861" w:rsidRDefault="00DD2861" w:rsidP="00DD2861">
            <w:pPr>
              <w:spacing w:after="0" w:line="240" w:lineRule="auto"/>
              <w:jc w:val="center"/>
              <w:rPr>
                <w:rFonts w:ascii="Arial" w:eastAsia="Times New Roman" w:hAnsi="Arial" w:cs="Arial"/>
                <w:sz w:val="18"/>
                <w:szCs w:val="24"/>
              </w:rPr>
            </w:pPr>
          </w:p>
        </w:tc>
        <w:tc>
          <w:tcPr>
            <w:tcW w:w="1863" w:type="dxa"/>
            <w:shd w:val="clear" w:color="auto" w:fill="auto"/>
            <w:vAlign w:val="center"/>
          </w:tcPr>
          <w:p w:rsidR="00DD2861" w:rsidRPr="00DD2861" w:rsidRDefault="00DD2861" w:rsidP="00DD2861">
            <w:pPr>
              <w:spacing w:after="0" w:line="240" w:lineRule="auto"/>
              <w:jc w:val="center"/>
              <w:rPr>
                <w:rFonts w:ascii="Arial" w:eastAsia="Times New Roman" w:hAnsi="Arial" w:cs="Arial"/>
                <w:lang w:val="fr-FR"/>
              </w:rPr>
            </w:pPr>
            <w:r w:rsidRPr="00DD2861">
              <w:rPr>
                <w:rFonts w:ascii="Arial" w:eastAsia="Times New Roman" w:hAnsi="Arial" w:cs="Arial"/>
                <w:lang w:val="fr-FR"/>
              </w:rPr>
              <w:t>Bicalutamide</w:t>
            </w:r>
          </w:p>
          <w:p w:rsidR="00DD2861" w:rsidRPr="00DD2861" w:rsidRDefault="00DD2861" w:rsidP="00DD2861">
            <w:pPr>
              <w:spacing w:after="0" w:line="240" w:lineRule="auto"/>
              <w:jc w:val="center"/>
              <w:rPr>
                <w:rFonts w:ascii="Arial" w:eastAsia="Times New Roman" w:hAnsi="Arial" w:cs="Arial"/>
                <w:sz w:val="18"/>
                <w:szCs w:val="24"/>
              </w:rPr>
            </w:pPr>
          </w:p>
        </w:tc>
        <w:tc>
          <w:tcPr>
            <w:tcW w:w="2127" w:type="dxa"/>
            <w:tcBorders>
              <w:bottom w:val="single" w:sz="4" w:space="0" w:color="auto"/>
            </w:tcBorders>
            <w:shd w:val="clear" w:color="auto" w:fill="D9D9D9"/>
            <w:vAlign w:val="center"/>
          </w:tcPr>
          <w:p w:rsidR="00DD2861" w:rsidRPr="00DD2861" w:rsidRDefault="00DD2861" w:rsidP="00DD2861">
            <w:pPr>
              <w:spacing w:after="0" w:line="240" w:lineRule="auto"/>
              <w:jc w:val="center"/>
              <w:rPr>
                <w:rFonts w:ascii="Arial" w:eastAsia="Times New Roman" w:hAnsi="Arial" w:cs="Arial"/>
                <w:sz w:val="18"/>
                <w:szCs w:val="24"/>
                <w:lang w:val="fr-FR"/>
              </w:rPr>
            </w:pPr>
          </w:p>
        </w:tc>
        <w:tc>
          <w:tcPr>
            <w:tcW w:w="1984" w:type="dxa"/>
            <w:shd w:val="clear" w:color="auto" w:fill="D9D9D9"/>
            <w:vAlign w:val="center"/>
          </w:tcPr>
          <w:p w:rsidR="00DD2861" w:rsidRPr="00DD2861" w:rsidRDefault="00DD2861" w:rsidP="00DD2861">
            <w:pPr>
              <w:spacing w:after="0" w:line="240" w:lineRule="auto"/>
              <w:jc w:val="center"/>
              <w:rPr>
                <w:rFonts w:ascii="Arial" w:eastAsia="Times New Roman" w:hAnsi="Arial" w:cs="Arial"/>
                <w:sz w:val="18"/>
                <w:szCs w:val="24"/>
                <w:lang w:val="fr-FR"/>
              </w:rPr>
            </w:pPr>
          </w:p>
        </w:tc>
      </w:tr>
    </w:tbl>
    <w:p w:rsidR="00DD2861" w:rsidRPr="00DD2861" w:rsidRDefault="00DD2861" w:rsidP="00DD2861">
      <w:pPr>
        <w:spacing w:after="0" w:line="240" w:lineRule="auto"/>
        <w:rPr>
          <w:rFonts w:ascii="Arial" w:eastAsia="Times New Roman" w:hAnsi="Arial" w:cs="Arial"/>
          <w:sz w:val="18"/>
          <w:szCs w:val="18"/>
        </w:rPr>
      </w:pPr>
    </w:p>
    <w:p w:rsidR="00DD2861" w:rsidRPr="00DD2861" w:rsidRDefault="00DD2861" w:rsidP="00DD2861">
      <w:pPr>
        <w:pStyle w:val="Title"/>
        <w:jc w:val="left"/>
        <w:rPr>
          <w:b w:val="0"/>
          <w:sz w:val="22"/>
          <w:szCs w:val="22"/>
        </w:rPr>
      </w:pPr>
      <w:r w:rsidRPr="00DD2861">
        <w:rPr>
          <w:b w:val="0"/>
          <w:sz w:val="22"/>
          <w:szCs w:val="22"/>
        </w:rPr>
        <w:t>This guidance applies only for the indication for which the drugs are stated to be used for. It should not be used for other indications listed on the Doncaster &amp; Bassetlaw APC traffic light system or for unlicensed indications for the drug.</w:t>
      </w:r>
    </w:p>
    <w:p w:rsidR="00DD2861" w:rsidRDefault="00DD2861" w:rsidP="00942783">
      <w:pPr>
        <w:spacing w:after="0" w:line="240" w:lineRule="auto"/>
        <w:rPr>
          <w:rFonts w:ascii="Arial" w:eastAsia="Times New Roman" w:hAnsi="Arial" w:cs="Arial"/>
          <w:b/>
          <w:bCs/>
          <w:color w:val="000000"/>
          <w:sz w:val="24"/>
          <w:szCs w:val="28"/>
        </w:rPr>
      </w:pPr>
    </w:p>
    <w:p w:rsidR="00942783" w:rsidRPr="00942783" w:rsidRDefault="00942783" w:rsidP="00942783">
      <w:pPr>
        <w:spacing w:after="0" w:line="240" w:lineRule="auto"/>
        <w:rPr>
          <w:rFonts w:ascii="Arial" w:eastAsia="Times New Roman" w:hAnsi="Arial" w:cs="Arial"/>
          <w:b/>
          <w:bCs/>
          <w:color w:val="000000"/>
          <w:sz w:val="24"/>
          <w:szCs w:val="28"/>
        </w:rPr>
      </w:pPr>
      <w:r w:rsidRPr="00E91B06">
        <w:rPr>
          <w:rFonts w:ascii="Arial" w:eastAsia="Times New Roman" w:hAnsi="Arial" w:cs="Arial"/>
          <w:b/>
          <w:bCs/>
          <w:color w:val="000000"/>
          <w:sz w:val="24"/>
          <w:szCs w:val="28"/>
        </w:rPr>
        <w:t xml:space="preserve">Responsibilities of </w:t>
      </w:r>
      <w:r w:rsidR="00C257C6">
        <w:rPr>
          <w:rFonts w:ascii="Arial" w:eastAsia="Times New Roman" w:hAnsi="Arial" w:cs="Arial"/>
          <w:b/>
          <w:bCs/>
          <w:color w:val="000000"/>
          <w:sz w:val="24"/>
          <w:szCs w:val="28"/>
        </w:rPr>
        <w:t>specialist</w:t>
      </w:r>
      <w:r w:rsidRPr="00E91B06">
        <w:rPr>
          <w:rFonts w:ascii="Arial" w:eastAsia="Times New Roman" w:hAnsi="Arial" w:cs="Arial"/>
          <w:b/>
          <w:bCs/>
          <w:color w:val="000000"/>
          <w:sz w:val="24"/>
          <w:szCs w:val="28"/>
        </w:rPr>
        <w:t xml:space="preserve"> clinician </w:t>
      </w:r>
    </w:p>
    <w:p w:rsidR="00942783" w:rsidRPr="00942783" w:rsidRDefault="00942783" w:rsidP="00942783">
      <w:pPr>
        <w:spacing w:after="0" w:line="240" w:lineRule="auto"/>
        <w:rPr>
          <w:rFonts w:ascii="Arial" w:eastAsia="Times New Roman" w:hAnsi="Arial" w:cs="Arial"/>
          <w:b/>
          <w:bCs/>
          <w:color w:val="000000"/>
          <w:sz w:val="24"/>
          <w:szCs w:val="28"/>
        </w:rPr>
      </w:pPr>
    </w:p>
    <w:p w:rsidR="003C2B6C" w:rsidRPr="003C2B6C" w:rsidRDefault="003C2B6C" w:rsidP="003C2B6C">
      <w:pPr>
        <w:numPr>
          <w:ilvl w:val="0"/>
          <w:numId w:val="1"/>
        </w:numPr>
        <w:tabs>
          <w:tab w:val="num" w:pos="1080"/>
        </w:tabs>
        <w:spacing w:after="0" w:line="240" w:lineRule="auto"/>
        <w:ind w:left="1080"/>
        <w:rPr>
          <w:rFonts w:ascii="Arial" w:eastAsia="Times New Roman" w:hAnsi="Arial" w:cs="Arial"/>
          <w:b/>
          <w:bCs/>
          <w:color w:val="000000"/>
          <w:sz w:val="24"/>
          <w:szCs w:val="28"/>
        </w:rPr>
      </w:pPr>
      <w:r>
        <w:rPr>
          <w:rFonts w:ascii="Arial" w:eastAsia="Times New Roman" w:hAnsi="Arial" w:cs="Arial"/>
          <w:bCs/>
          <w:color w:val="000000"/>
        </w:rPr>
        <w:t xml:space="preserve">Diagnosis, </w:t>
      </w:r>
      <w:r w:rsidRPr="003C2B6C">
        <w:rPr>
          <w:rFonts w:ascii="Arial" w:eastAsia="Times New Roman" w:hAnsi="Arial" w:cs="Arial"/>
          <w:bCs/>
          <w:color w:val="000000"/>
        </w:rPr>
        <w:t>assessment</w:t>
      </w:r>
      <w:r>
        <w:rPr>
          <w:rFonts w:ascii="Arial" w:eastAsia="Times New Roman" w:hAnsi="Arial" w:cs="Arial"/>
          <w:bCs/>
          <w:color w:val="000000"/>
        </w:rPr>
        <w:t xml:space="preserve">, </w:t>
      </w:r>
      <w:r w:rsidRPr="003C2B6C">
        <w:rPr>
          <w:rFonts w:ascii="Arial" w:eastAsia="Times New Roman" w:hAnsi="Arial" w:cs="Arial"/>
          <w:bCs/>
          <w:color w:val="000000"/>
        </w:rPr>
        <w:t xml:space="preserve"> Initiation and stabilisation of drug therapy</w:t>
      </w:r>
    </w:p>
    <w:p w:rsidR="00B97E6F" w:rsidRDefault="00942783" w:rsidP="00B97E6F">
      <w:pPr>
        <w:numPr>
          <w:ilvl w:val="0"/>
          <w:numId w:val="1"/>
        </w:numPr>
        <w:tabs>
          <w:tab w:val="num" w:pos="1080"/>
        </w:tabs>
        <w:spacing w:after="0" w:line="240" w:lineRule="auto"/>
        <w:ind w:left="1080"/>
        <w:rPr>
          <w:rFonts w:ascii="Arial" w:eastAsia="Times New Roman" w:hAnsi="Arial" w:cs="Arial"/>
          <w:bCs/>
          <w:color w:val="000000"/>
        </w:rPr>
      </w:pPr>
      <w:r w:rsidRPr="00B97E6F">
        <w:rPr>
          <w:rFonts w:ascii="Arial" w:eastAsia="Times New Roman" w:hAnsi="Arial" w:cs="Arial"/>
          <w:bCs/>
          <w:color w:val="000000"/>
        </w:rPr>
        <w:t xml:space="preserve">To </w:t>
      </w:r>
      <w:r w:rsidR="00B97E6F">
        <w:rPr>
          <w:rFonts w:ascii="Arial" w:eastAsia="Times New Roman" w:hAnsi="Arial" w:cs="Arial"/>
          <w:bCs/>
          <w:color w:val="000000"/>
        </w:rPr>
        <w:t>e</w:t>
      </w:r>
      <w:r w:rsidR="00B97E6F" w:rsidRPr="00B97E6F">
        <w:rPr>
          <w:rFonts w:ascii="Arial" w:eastAsia="Times New Roman" w:hAnsi="Arial" w:cs="Arial"/>
          <w:bCs/>
          <w:color w:val="000000"/>
        </w:rPr>
        <w:t xml:space="preserve">nsure patient/guardian/carer is fully informed of potential </w:t>
      </w:r>
      <w:r w:rsidRPr="00B97E6F">
        <w:rPr>
          <w:rFonts w:ascii="Arial" w:eastAsia="Times New Roman" w:hAnsi="Arial" w:cs="Arial"/>
          <w:bCs/>
          <w:color w:val="000000"/>
        </w:rPr>
        <w:t>benefits and side effects of treatment and obtain informed consent</w:t>
      </w:r>
      <w:r w:rsidR="00065D77" w:rsidRPr="00B97E6F">
        <w:rPr>
          <w:rFonts w:ascii="Arial" w:eastAsia="Times New Roman" w:hAnsi="Arial" w:cs="Arial"/>
          <w:bCs/>
          <w:color w:val="000000"/>
        </w:rPr>
        <w:t>, in line with national guidance</w:t>
      </w:r>
      <w:r w:rsidRPr="00B97E6F">
        <w:rPr>
          <w:rFonts w:ascii="Arial" w:eastAsia="Times New Roman" w:hAnsi="Arial" w:cs="Arial"/>
          <w:bCs/>
          <w:color w:val="000000"/>
        </w:rPr>
        <w:t xml:space="preserve">. </w:t>
      </w:r>
      <w:r w:rsidR="00B97E6F" w:rsidRPr="00B97E6F">
        <w:rPr>
          <w:rFonts w:ascii="Arial" w:eastAsia="Times New Roman" w:hAnsi="Arial" w:cs="Arial"/>
          <w:bCs/>
          <w:color w:val="000000"/>
        </w:rPr>
        <w:t xml:space="preserve">Ensure that contra-indications, warnings and interactions are considered prior to initiation of bicalutamide </w:t>
      </w:r>
    </w:p>
    <w:p w:rsidR="003C2B6C" w:rsidRPr="00B97E6F" w:rsidRDefault="003C2B6C" w:rsidP="00B97E6F">
      <w:pPr>
        <w:numPr>
          <w:ilvl w:val="0"/>
          <w:numId w:val="1"/>
        </w:numPr>
        <w:tabs>
          <w:tab w:val="num" w:pos="1080"/>
        </w:tabs>
        <w:spacing w:after="0" w:line="240" w:lineRule="auto"/>
        <w:ind w:left="1080"/>
        <w:rPr>
          <w:rFonts w:ascii="Arial" w:eastAsia="Times New Roman" w:hAnsi="Arial" w:cs="Arial"/>
          <w:bCs/>
          <w:color w:val="000000"/>
        </w:rPr>
      </w:pPr>
      <w:r w:rsidRPr="00B97E6F">
        <w:rPr>
          <w:rFonts w:ascii="Arial" w:eastAsia="Times New Roman" w:hAnsi="Arial" w:cs="Arial"/>
          <w:bCs/>
          <w:color w:val="000000"/>
        </w:rPr>
        <w:t>Perform baseline blood tests including liver function tests (LFTs) and prostate-specific antigen (PSA)</w:t>
      </w:r>
      <w:r w:rsidR="00B97E6F">
        <w:rPr>
          <w:rFonts w:ascii="Arial" w:eastAsia="Times New Roman" w:hAnsi="Arial" w:cs="Arial"/>
          <w:bCs/>
          <w:color w:val="000000"/>
        </w:rPr>
        <w:t xml:space="preserve"> and m</w:t>
      </w:r>
      <w:r w:rsidR="00B97E6F" w:rsidRPr="00B97E6F">
        <w:rPr>
          <w:rFonts w:ascii="Arial" w:eastAsia="Times New Roman" w:hAnsi="Arial" w:cs="Arial"/>
          <w:bCs/>
          <w:color w:val="000000"/>
        </w:rPr>
        <w:t>onitor patient’s response to treatment</w:t>
      </w:r>
      <w:r w:rsidR="00B97E6F">
        <w:rPr>
          <w:rFonts w:ascii="Arial" w:eastAsia="Times New Roman" w:hAnsi="Arial" w:cs="Arial"/>
          <w:bCs/>
          <w:color w:val="000000"/>
        </w:rPr>
        <w:t xml:space="preserve"> </w:t>
      </w:r>
      <w:r w:rsidRPr="00B97E6F">
        <w:rPr>
          <w:rFonts w:ascii="Arial" w:eastAsia="Times New Roman" w:hAnsi="Arial" w:cs="Arial"/>
          <w:bCs/>
          <w:color w:val="000000"/>
        </w:rPr>
        <w:t>and side effects of treatment</w:t>
      </w:r>
    </w:p>
    <w:p w:rsidR="006F7A10" w:rsidRPr="00C257C6" w:rsidRDefault="006F7A10" w:rsidP="00942783">
      <w:pPr>
        <w:numPr>
          <w:ilvl w:val="0"/>
          <w:numId w:val="1"/>
        </w:numPr>
        <w:tabs>
          <w:tab w:val="num" w:pos="1080"/>
        </w:tabs>
        <w:spacing w:after="0" w:line="240" w:lineRule="auto"/>
        <w:ind w:left="1080"/>
        <w:rPr>
          <w:rFonts w:ascii="Arial" w:eastAsia="Times New Roman" w:hAnsi="Arial" w:cs="Arial"/>
          <w:b/>
          <w:bCs/>
          <w:sz w:val="24"/>
          <w:szCs w:val="28"/>
        </w:rPr>
      </w:pPr>
      <w:r w:rsidRPr="00C257C6">
        <w:rPr>
          <w:rFonts w:ascii="Arial" w:eastAsia="Times New Roman" w:hAnsi="Arial" w:cs="Arial"/>
          <w:bCs/>
        </w:rPr>
        <w:t>To provide patient / carer with contact details for support and help if required; both in and out of hours</w:t>
      </w:r>
    </w:p>
    <w:p w:rsidR="00533281" w:rsidRPr="003C2B6C" w:rsidRDefault="00942783" w:rsidP="003C2B6C">
      <w:pPr>
        <w:numPr>
          <w:ilvl w:val="0"/>
          <w:numId w:val="1"/>
        </w:numPr>
        <w:tabs>
          <w:tab w:val="num" w:pos="1080"/>
        </w:tabs>
        <w:spacing w:after="0" w:line="240" w:lineRule="auto"/>
        <w:ind w:left="1080"/>
        <w:rPr>
          <w:rFonts w:ascii="Arial" w:eastAsia="Times New Roman" w:hAnsi="Arial" w:cs="Arial"/>
          <w:bCs/>
          <w:color w:val="000000"/>
        </w:rPr>
      </w:pPr>
      <w:r w:rsidRPr="00942783">
        <w:rPr>
          <w:rFonts w:ascii="Arial" w:eastAsia="Times New Roman" w:hAnsi="Arial" w:cs="Arial"/>
          <w:bCs/>
          <w:color w:val="000000"/>
        </w:rPr>
        <w:t>To initiate</w:t>
      </w:r>
      <w:r w:rsidR="00533281">
        <w:rPr>
          <w:rFonts w:ascii="Arial" w:eastAsia="Times New Roman" w:hAnsi="Arial" w:cs="Arial"/>
          <w:bCs/>
          <w:color w:val="000000"/>
        </w:rPr>
        <w:t xml:space="preserve"> b</w:t>
      </w:r>
      <w:r w:rsidR="001A7644">
        <w:rPr>
          <w:rFonts w:ascii="Arial" w:eastAsia="Times New Roman" w:hAnsi="Arial" w:cs="Arial"/>
          <w:bCs/>
          <w:color w:val="000000"/>
        </w:rPr>
        <w:t>icalutamide</w:t>
      </w:r>
      <w:r w:rsidRPr="00942783">
        <w:rPr>
          <w:rFonts w:ascii="Arial" w:eastAsia="Times New Roman" w:hAnsi="Arial" w:cs="Arial"/>
          <w:bCs/>
          <w:color w:val="000000"/>
        </w:rPr>
        <w:t xml:space="preserve"> in appropriate patients</w:t>
      </w:r>
      <w:r w:rsidR="003C2B6C">
        <w:rPr>
          <w:rFonts w:ascii="Arial" w:eastAsia="Times New Roman" w:hAnsi="Arial" w:cs="Arial"/>
          <w:bCs/>
          <w:color w:val="000000"/>
        </w:rPr>
        <w:t xml:space="preserve"> a</w:t>
      </w:r>
      <w:r w:rsidR="003C2B6C" w:rsidRPr="003C2B6C">
        <w:rPr>
          <w:rFonts w:ascii="Arial" w:eastAsia="Times New Roman" w:hAnsi="Arial" w:cs="Arial"/>
          <w:bCs/>
        </w:rPr>
        <w:t>nd provision</w:t>
      </w:r>
      <w:r w:rsidR="00533281" w:rsidRPr="003C2B6C">
        <w:rPr>
          <w:rFonts w:ascii="Arial" w:eastAsia="Times New Roman" w:hAnsi="Arial" w:cs="Arial"/>
          <w:bCs/>
        </w:rPr>
        <w:t xml:space="preserve"> initial prescriptions – usually a period of not less than 3 months</w:t>
      </w:r>
    </w:p>
    <w:p w:rsidR="00942783" w:rsidRPr="00DE4802" w:rsidRDefault="00942783" w:rsidP="00EF16EC">
      <w:pPr>
        <w:numPr>
          <w:ilvl w:val="0"/>
          <w:numId w:val="1"/>
        </w:numPr>
        <w:tabs>
          <w:tab w:val="num" w:pos="1080"/>
        </w:tabs>
        <w:spacing w:after="0" w:line="240" w:lineRule="auto"/>
        <w:ind w:left="1080"/>
        <w:rPr>
          <w:rFonts w:ascii="Arial" w:eastAsia="Times New Roman" w:hAnsi="Arial" w:cs="Arial"/>
          <w:bCs/>
        </w:rPr>
      </w:pPr>
      <w:r w:rsidRPr="00DE4802">
        <w:rPr>
          <w:rFonts w:ascii="Arial" w:eastAsia="Times New Roman" w:hAnsi="Arial" w:cs="Arial"/>
          <w:bCs/>
        </w:rPr>
        <w:t xml:space="preserve">To contact patient’s GP to request </w:t>
      </w:r>
      <w:r w:rsidR="00EF16EC" w:rsidRPr="00EF16EC">
        <w:rPr>
          <w:rFonts w:ascii="Arial" w:eastAsia="Times New Roman" w:hAnsi="Arial" w:cs="Arial"/>
          <w:bCs/>
        </w:rPr>
        <w:t xml:space="preserve">transfer of prescribing responsibility </w:t>
      </w:r>
      <w:r w:rsidR="00202AFF" w:rsidRPr="00DE4802">
        <w:rPr>
          <w:rFonts w:ascii="Arial" w:eastAsia="Times New Roman" w:hAnsi="Arial" w:cs="Arial"/>
          <w:bCs/>
        </w:rPr>
        <w:t xml:space="preserve">and </w:t>
      </w:r>
      <w:r w:rsidR="00673E72">
        <w:rPr>
          <w:rFonts w:ascii="Arial" w:eastAsia="Times New Roman" w:hAnsi="Arial" w:cs="Arial"/>
          <w:bCs/>
        </w:rPr>
        <w:t xml:space="preserve">outline </w:t>
      </w:r>
      <w:r w:rsidR="00202AFF" w:rsidRPr="00DE4802">
        <w:rPr>
          <w:rFonts w:ascii="Arial" w:eastAsia="Times New Roman" w:hAnsi="Arial" w:cs="Arial"/>
          <w:bCs/>
        </w:rPr>
        <w:t xml:space="preserve">monitoring </w:t>
      </w:r>
      <w:r w:rsidR="00EF16EC">
        <w:rPr>
          <w:rFonts w:ascii="Arial" w:eastAsia="Times New Roman" w:hAnsi="Arial" w:cs="Arial"/>
          <w:bCs/>
        </w:rPr>
        <w:t xml:space="preserve">requirements </w:t>
      </w:r>
      <w:r w:rsidRPr="00DE4802">
        <w:rPr>
          <w:rFonts w:ascii="Arial" w:eastAsia="Times New Roman" w:hAnsi="Arial" w:cs="Arial"/>
          <w:bCs/>
        </w:rPr>
        <w:t>under sh</w:t>
      </w:r>
      <w:r w:rsidR="00EF16EC">
        <w:rPr>
          <w:rFonts w:ascii="Arial" w:eastAsia="Times New Roman" w:hAnsi="Arial" w:cs="Arial"/>
          <w:bCs/>
        </w:rPr>
        <w:t xml:space="preserve">ared care and send </w:t>
      </w:r>
      <w:r w:rsidRPr="00DE4802">
        <w:rPr>
          <w:rFonts w:ascii="Arial" w:eastAsia="Times New Roman" w:hAnsi="Arial" w:cs="Arial"/>
          <w:bCs/>
        </w:rPr>
        <w:t>copy of the shared care guideline.</w:t>
      </w:r>
    </w:p>
    <w:p w:rsidR="00942783" w:rsidRPr="00DE4802" w:rsidRDefault="00942783" w:rsidP="00942783">
      <w:pPr>
        <w:numPr>
          <w:ilvl w:val="0"/>
          <w:numId w:val="1"/>
        </w:numPr>
        <w:tabs>
          <w:tab w:val="num" w:pos="1080"/>
        </w:tabs>
        <w:spacing w:after="0" w:line="240" w:lineRule="auto"/>
        <w:ind w:left="1080"/>
        <w:rPr>
          <w:rFonts w:ascii="Arial" w:eastAsia="Times New Roman" w:hAnsi="Arial" w:cs="Arial"/>
          <w:bCs/>
        </w:rPr>
      </w:pPr>
      <w:r w:rsidRPr="00DE4802">
        <w:rPr>
          <w:rFonts w:ascii="Arial" w:eastAsia="Times New Roman" w:hAnsi="Arial" w:cs="Arial"/>
          <w:bCs/>
        </w:rPr>
        <w:t xml:space="preserve">To advise the GP regarding continuation of treatment, including the </w:t>
      </w:r>
      <w:r w:rsidR="00065D77" w:rsidRPr="00DE4802">
        <w:rPr>
          <w:rFonts w:ascii="Arial" w:eastAsia="Times New Roman" w:hAnsi="Arial" w:cs="Arial"/>
          <w:bCs/>
        </w:rPr>
        <w:t xml:space="preserve">duration </w:t>
      </w:r>
      <w:r w:rsidRPr="00DE4802">
        <w:rPr>
          <w:rFonts w:ascii="Arial" w:eastAsia="Times New Roman" w:hAnsi="Arial" w:cs="Arial"/>
          <w:bCs/>
        </w:rPr>
        <w:t>of treatment</w:t>
      </w:r>
    </w:p>
    <w:p w:rsidR="00942783" w:rsidRPr="00DE4802" w:rsidRDefault="00942783" w:rsidP="00942783">
      <w:pPr>
        <w:numPr>
          <w:ilvl w:val="0"/>
          <w:numId w:val="1"/>
        </w:numPr>
        <w:tabs>
          <w:tab w:val="num" w:pos="1080"/>
        </w:tabs>
        <w:spacing w:after="0" w:line="240" w:lineRule="auto"/>
        <w:ind w:left="1080"/>
        <w:rPr>
          <w:rFonts w:ascii="Arial" w:eastAsia="Times New Roman" w:hAnsi="Arial" w:cs="Arial"/>
          <w:bCs/>
        </w:rPr>
      </w:pPr>
      <w:r w:rsidRPr="00DE4802">
        <w:rPr>
          <w:rFonts w:ascii="Arial" w:eastAsia="Times New Roman" w:hAnsi="Arial" w:cs="Arial"/>
          <w:bCs/>
        </w:rPr>
        <w:t>To discuss any concerns with the GP regarding the patient’s therapy</w:t>
      </w:r>
    </w:p>
    <w:p w:rsidR="00942783" w:rsidRPr="003C2B6C" w:rsidRDefault="00942783" w:rsidP="00086A35">
      <w:pPr>
        <w:numPr>
          <w:ilvl w:val="0"/>
          <w:numId w:val="1"/>
        </w:numPr>
        <w:tabs>
          <w:tab w:val="num" w:pos="1080"/>
        </w:tabs>
        <w:spacing w:after="0" w:line="240" w:lineRule="auto"/>
        <w:ind w:left="1080"/>
        <w:rPr>
          <w:rFonts w:ascii="Arial" w:eastAsia="Times New Roman" w:hAnsi="Arial" w:cs="Arial"/>
          <w:bCs/>
          <w:sz w:val="24"/>
          <w:szCs w:val="28"/>
        </w:rPr>
      </w:pPr>
      <w:r w:rsidRPr="00C257C6">
        <w:rPr>
          <w:rFonts w:ascii="Arial" w:eastAsia="Times New Roman" w:hAnsi="Arial" w:cs="Arial"/>
          <w:bCs/>
        </w:rPr>
        <w:t xml:space="preserve">The patient to </w:t>
      </w:r>
      <w:r w:rsidR="00086A35" w:rsidRPr="00C257C6">
        <w:rPr>
          <w:rFonts w:ascii="Arial" w:eastAsia="Times New Roman" w:hAnsi="Arial" w:cs="Arial"/>
          <w:bCs/>
        </w:rPr>
        <w:t xml:space="preserve">normally </w:t>
      </w:r>
      <w:r w:rsidRPr="00C257C6">
        <w:rPr>
          <w:rFonts w:ascii="Arial" w:eastAsia="Times New Roman" w:hAnsi="Arial" w:cs="Arial"/>
          <w:bCs/>
        </w:rPr>
        <w:t xml:space="preserve">remain under the </w:t>
      </w:r>
      <w:r w:rsidR="00C257C6">
        <w:rPr>
          <w:rFonts w:ascii="Arial" w:eastAsia="Times New Roman" w:hAnsi="Arial" w:cs="Arial"/>
          <w:bCs/>
        </w:rPr>
        <w:t>specialist</w:t>
      </w:r>
      <w:r w:rsidRPr="00C257C6">
        <w:rPr>
          <w:rFonts w:ascii="Arial" w:eastAsia="Times New Roman" w:hAnsi="Arial" w:cs="Arial"/>
          <w:bCs/>
        </w:rPr>
        <w:t>s</w:t>
      </w:r>
      <w:r w:rsidR="00C257C6">
        <w:rPr>
          <w:rFonts w:ascii="Arial" w:eastAsia="Times New Roman" w:hAnsi="Arial" w:cs="Arial"/>
          <w:bCs/>
        </w:rPr>
        <w:t>’</w:t>
      </w:r>
      <w:r w:rsidRPr="00C257C6">
        <w:rPr>
          <w:rFonts w:ascii="Arial" w:eastAsia="Times New Roman" w:hAnsi="Arial" w:cs="Arial"/>
          <w:bCs/>
        </w:rPr>
        <w:t xml:space="preserve"> </w:t>
      </w:r>
      <w:r w:rsidRPr="00B065F2">
        <w:rPr>
          <w:rFonts w:ascii="Arial" w:eastAsia="Times New Roman" w:hAnsi="Arial" w:cs="Arial"/>
          <w:bCs/>
        </w:rPr>
        <w:t xml:space="preserve">care </w:t>
      </w:r>
      <w:r w:rsidR="00086A35" w:rsidRPr="00B065F2">
        <w:rPr>
          <w:rFonts w:ascii="Arial" w:eastAsia="Times New Roman" w:hAnsi="Arial" w:cs="Arial"/>
          <w:bCs/>
        </w:rPr>
        <w:t>but if</w:t>
      </w:r>
      <w:r w:rsidR="00B065F2" w:rsidRPr="00B065F2">
        <w:rPr>
          <w:rFonts w:ascii="Arial" w:eastAsia="Times New Roman" w:hAnsi="Arial" w:cs="Arial"/>
          <w:bCs/>
        </w:rPr>
        <w:t xml:space="preserve"> ongoing specialist co-ordination of the patient’</w:t>
      </w:r>
      <w:r w:rsidR="00B065F2">
        <w:rPr>
          <w:rFonts w:ascii="Arial" w:eastAsia="Times New Roman" w:hAnsi="Arial" w:cs="Arial"/>
          <w:bCs/>
        </w:rPr>
        <w:t>s care</w:t>
      </w:r>
      <w:r w:rsidR="00086A35" w:rsidRPr="00B065F2">
        <w:rPr>
          <w:rFonts w:ascii="Arial" w:eastAsia="Times New Roman" w:hAnsi="Arial" w:cs="Arial"/>
          <w:bCs/>
        </w:rPr>
        <w:t xml:space="preserve"> </w:t>
      </w:r>
      <w:r w:rsidR="00B065F2" w:rsidRPr="00B065F2">
        <w:rPr>
          <w:rFonts w:ascii="Arial" w:eastAsia="Times New Roman" w:hAnsi="Arial" w:cs="Arial"/>
          <w:bCs/>
        </w:rPr>
        <w:t xml:space="preserve">is not required the specialist must provide </w:t>
      </w:r>
      <w:r w:rsidR="00086A35" w:rsidRPr="00B065F2">
        <w:rPr>
          <w:rFonts w:ascii="Arial" w:eastAsia="Times New Roman" w:hAnsi="Arial" w:cs="Arial"/>
          <w:bCs/>
        </w:rPr>
        <w:t xml:space="preserve">access to advice </w:t>
      </w:r>
      <w:r w:rsidR="00B065F2" w:rsidRPr="00B065F2">
        <w:rPr>
          <w:rFonts w:ascii="Arial" w:eastAsia="Times New Roman" w:hAnsi="Arial" w:cs="Arial"/>
          <w:bCs/>
        </w:rPr>
        <w:t xml:space="preserve">and intervention of that specialist </w:t>
      </w:r>
      <w:r w:rsidR="00086A35" w:rsidRPr="00B065F2">
        <w:rPr>
          <w:rFonts w:ascii="Arial" w:eastAsia="Times New Roman" w:hAnsi="Arial" w:cs="Arial"/>
          <w:bCs/>
        </w:rPr>
        <w:t>in a more timely manner than via a new referral</w:t>
      </w:r>
      <w:r w:rsidR="00DE4802" w:rsidRPr="00B065F2">
        <w:rPr>
          <w:rFonts w:ascii="Arial" w:eastAsia="Times New Roman" w:hAnsi="Arial" w:cs="Arial"/>
          <w:bCs/>
        </w:rPr>
        <w:t>.</w:t>
      </w:r>
    </w:p>
    <w:p w:rsidR="00B97E6F" w:rsidRDefault="003C2B6C" w:rsidP="00B97E6F">
      <w:pPr>
        <w:numPr>
          <w:ilvl w:val="0"/>
          <w:numId w:val="1"/>
        </w:numPr>
        <w:tabs>
          <w:tab w:val="num" w:pos="1080"/>
        </w:tabs>
        <w:spacing w:after="0" w:line="240" w:lineRule="auto"/>
        <w:ind w:left="1080"/>
        <w:rPr>
          <w:rFonts w:ascii="Arial" w:eastAsia="Times New Roman" w:hAnsi="Arial" w:cs="Arial"/>
          <w:bCs/>
          <w:sz w:val="24"/>
          <w:szCs w:val="28"/>
        </w:rPr>
      </w:pPr>
      <w:r w:rsidRPr="00B97E6F">
        <w:rPr>
          <w:rFonts w:ascii="Arial" w:eastAsia="Times New Roman" w:hAnsi="Arial" w:cs="Arial"/>
          <w:bCs/>
          <w:sz w:val="24"/>
          <w:szCs w:val="28"/>
        </w:rPr>
        <w:t>Write to the GP after every clinic visit detailing whether the medication regime should remain the same or be changed.  Specify any produ</w:t>
      </w:r>
      <w:r w:rsidR="00B97E6F" w:rsidRPr="00B97E6F">
        <w:rPr>
          <w:rFonts w:ascii="Arial" w:eastAsia="Times New Roman" w:hAnsi="Arial" w:cs="Arial"/>
          <w:bCs/>
          <w:sz w:val="24"/>
          <w:szCs w:val="28"/>
        </w:rPr>
        <w:t xml:space="preserve">cts / dose or frequency changes and monitor </w:t>
      </w:r>
      <w:r w:rsidR="00B97E6F">
        <w:rPr>
          <w:rFonts w:ascii="Arial" w:eastAsia="Times New Roman" w:hAnsi="Arial" w:cs="Arial"/>
          <w:bCs/>
          <w:sz w:val="24"/>
          <w:szCs w:val="28"/>
        </w:rPr>
        <w:t xml:space="preserve">any </w:t>
      </w:r>
      <w:r w:rsidR="00B97E6F" w:rsidRPr="00B97E6F">
        <w:rPr>
          <w:rFonts w:ascii="Arial" w:eastAsia="Times New Roman" w:hAnsi="Arial" w:cs="Arial"/>
          <w:bCs/>
          <w:sz w:val="24"/>
          <w:szCs w:val="28"/>
        </w:rPr>
        <w:t xml:space="preserve">side effects </w:t>
      </w:r>
      <w:r w:rsidRPr="00B97E6F">
        <w:rPr>
          <w:rFonts w:ascii="Arial" w:eastAsia="Times New Roman" w:hAnsi="Arial" w:cs="Arial"/>
          <w:bCs/>
          <w:sz w:val="24"/>
          <w:szCs w:val="28"/>
        </w:rPr>
        <w:tab/>
      </w:r>
    </w:p>
    <w:p w:rsidR="003C2B6C" w:rsidRPr="00B97E6F" w:rsidRDefault="00B97E6F" w:rsidP="00B97E6F">
      <w:pPr>
        <w:numPr>
          <w:ilvl w:val="0"/>
          <w:numId w:val="1"/>
        </w:numPr>
        <w:tabs>
          <w:tab w:val="num" w:pos="1080"/>
        </w:tabs>
        <w:spacing w:after="0" w:line="240" w:lineRule="auto"/>
        <w:ind w:left="1080"/>
        <w:rPr>
          <w:rFonts w:ascii="Arial" w:eastAsia="Times New Roman" w:hAnsi="Arial" w:cs="Arial"/>
          <w:bCs/>
          <w:sz w:val="24"/>
          <w:szCs w:val="28"/>
        </w:rPr>
      </w:pPr>
      <w:r w:rsidRPr="00B97E6F">
        <w:rPr>
          <w:rFonts w:ascii="Arial" w:eastAsia="Times New Roman" w:hAnsi="Arial" w:cs="Arial"/>
          <w:bCs/>
          <w:sz w:val="24"/>
          <w:szCs w:val="28"/>
        </w:rPr>
        <w:t>Report adverse events via the Yellow Card reporting system in the BNF or at https://yellowcard.mhra.gov.uk/</w:t>
      </w:r>
    </w:p>
    <w:p w:rsidR="00B97E6F" w:rsidRDefault="00B97E6F" w:rsidP="00942783">
      <w:pPr>
        <w:spacing w:after="0" w:line="240" w:lineRule="auto"/>
        <w:rPr>
          <w:rFonts w:ascii="Arial" w:eastAsia="Times New Roman" w:hAnsi="Arial" w:cs="Arial"/>
          <w:bCs/>
          <w:sz w:val="24"/>
          <w:szCs w:val="28"/>
        </w:rPr>
      </w:pPr>
    </w:p>
    <w:p w:rsidR="00942783" w:rsidRPr="00942783" w:rsidRDefault="00942783" w:rsidP="00942783">
      <w:pPr>
        <w:spacing w:after="0" w:line="240" w:lineRule="auto"/>
        <w:rPr>
          <w:rFonts w:ascii="Arial" w:eastAsia="Times New Roman" w:hAnsi="Arial" w:cs="Arial"/>
          <w:b/>
          <w:bCs/>
          <w:color w:val="000000"/>
          <w:sz w:val="24"/>
          <w:szCs w:val="28"/>
        </w:rPr>
      </w:pPr>
      <w:r w:rsidRPr="00942783">
        <w:rPr>
          <w:rFonts w:ascii="Arial" w:eastAsia="Times New Roman" w:hAnsi="Arial" w:cs="Arial"/>
          <w:b/>
          <w:bCs/>
          <w:color w:val="000000"/>
          <w:sz w:val="24"/>
          <w:szCs w:val="28"/>
        </w:rPr>
        <w:t>Responsibilities of the primary care clinician</w:t>
      </w:r>
    </w:p>
    <w:p w:rsidR="00942783" w:rsidRPr="00942783" w:rsidRDefault="00942783" w:rsidP="00942783">
      <w:pPr>
        <w:spacing w:after="0" w:line="240" w:lineRule="auto"/>
        <w:rPr>
          <w:rFonts w:ascii="Arial" w:eastAsia="Times New Roman" w:hAnsi="Arial" w:cs="Arial"/>
          <w:b/>
          <w:bCs/>
          <w:color w:val="000000"/>
          <w:sz w:val="24"/>
          <w:szCs w:val="28"/>
        </w:rPr>
      </w:pPr>
    </w:p>
    <w:p w:rsidR="00942783" w:rsidRPr="00942783" w:rsidRDefault="00942783" w:rsidP="00942783">
      <w:pPr>
        <w:numPr>
          <w:ilvl w:val="0"/>
          <w:numId w:val="2"/>
        </w:numPr>
        <w:spacing w:after="0" w:line="240" w:lineRule="auto"/>
        <w:rPr>
          <w:rFonts w:ascii="Arial" w:eastAsia="Times New Roman" w:hAnsi="Arial" w:cs="Arial"/>
          <w:bCs/>
          <w:color w:val="000000"/>
        </w:rPr>
      </w:pPr>
      <w:r w:rsidRPr="00942783">
        <w:rPr>
          <w:rFonts w:ascii="Arial" w:eastAsia="Times New Roman" w:hAnsi="Arial" w:cs="Arial"/>
          <w:bCs/>
          <w:color w:val="000000"/>
        </w:rPr>
        <w:t xml:space="preserve">To refer appropriate patients to secondary care for assessment </w:t>
      </w:r>
    </w:p>
    <w:p w:rsidR="00C257C6" w:rsidRDefault="00086A35" w:rsidP="00B97E6F">
      <w:pPr>
        <w:numPr>
          <w:ilvl w:val="0"/>
          <w:numId w:val="2"/>
        </w:numPr>
        <w:spacing w:after="0" w:line="240" w:lineRule="auto"/>
        <w:rPr>
          <w:rFonts w:ascii="Arial" w:eastAsia="Times New Roman" w:hAnsi="Arial" w:cs="Arial"/>
          <w:bCs/>
        </w:rPr>
      </w:pPr>
      <w:r w:rsidRPr="00C257C6">
        <w:rPr>
          <w:rFonts w:ascii="Arial" w:eastAsia="Times New Roman" w:hAnsi="Arial" w:cs="Arial"/>
          <w:bCs/>
          <w:color w:val="000000"/>
        </w:rPr>
        <w:t xml:space="preserve">Confirm the agreement and acceptance of the shared care prescribing arrangement </w:t>
      </w:r>
      <w:r w:rsidRPr="00B97E6F">
        <w:rPr>
          <w:rFonts w:ascii="Arial" w:eastAsia="Times New Roman" w:hAnsi="Arial" w:cs="Arial"/>
          <w:bCs/>
        </w:rPr>
        <w:t>and that supply</w:t>
      </w:r>
      <w:r w:rsidR="00D824C6" w:rsidRPr="00B97E6F">
        <w:rPr>
          <w:rFonts w:ascii="Arial" w:eastAsia="Times New Roman" w:hAnsi="Arial" w:cs="Arial"/>
          <w:bCs/>
        </w:rPr>
        <w:t xml:space="preserve"> </w:t>
      </w:r>
      <w:r w:rsidRPr="00B97E6F">
        <w:rPr>
          <w:rFonts w:ascii="Arial" w:eastAsia="Times New Roman" w:hAnsi="Arial" w:cs="Arial"/>
          <w:bCs/>
        </w:rPr>
        <w:t>arrangements have been finalised</w:t>
      </w:r>
      <w:r w:rsidR="00DE4802" w:rsidRPr="00B97E6F">
        <w:rPr>
          <w:rFonts w:ascii="Arial" w:eastAsia="Times New Roman" w:hAnsi="Arial" w:cs="Arial"/>
          <w:bCs/>
        </w:rPr>
        <w:t xml:space="preserve"> (see appendix for template letter).  </w:t>
      </w:r>
      <w:r w:rsidR="00B97E6F" w:rsidRPr="00B97E6F">
        <w:rPr>
          <w:rFonts w:ascii="Arial" w:eastAsia="Times New Roman" w:hAnsi="Arial" w:cs="Arial"/>
          <w:bCs/>
        </w:rPr>
        <w:t>If the request is declined the GP should write to the specialist detailing the reasons why the request has been declined</w:t>
      </w:r>
    </w:p>
    <w:p w:rsidR="00B97E6F" w:rsidRPr="00C257C6" w:rsidRDefault="00B97E6F" w:rsidP="00B97E6F">
      <w:pPr>
        <w:numPr>
          <w:ilvl w:val="0"/>
          <w:numId w:val="2"/>
        </w:numPr>
        <w:spacing w:after="0" w:line="240" w:lineRule="auto"/>
        <w:rPr>
          <w:rFonts w:ascii="Arial" w:eastAsia="Times New Roman" w:hAnsi="Arial" w:cs="Arial"/>
          <w:bCs/>
        </w:rPr>
      </w:pPr>
      <w:r w:rsidRPr="00B97E6F">
        <w:rPr>
          <w:rFonts w:ascii="Arial" w:eastAsia="Times New Roman" w:hAnsi="Arial" w:cs="Arial"/>
          <w:bCs/>
        </w:rPr>
        <w:t>Ensure that new contra-indications, warnings and interactions are considered prior to the GP init</w:t>
      </w:r>
      <w:r w:rsidR="00673E72">
        <w:rPr>
          <w:rFonts w:ascii="Arial" w:eastAsia="Times New Roman" w:hAnsi="Arial" w:cs="Arial"/>
          <w:bCs/>
        </w:rPr>
        <w:t>iating any additional medication</w:t>
      </w:r>
      <w:r w:rsidRPr="00B97E6F">
        <w:rPr>
          <w:rFonts w:ascii="Arial" w:eastAsia="Times New Roman" w:hAnsi="Arial" w:cs="Arial"/>
          <w:bCs/>
        </w:rPr>
        <w:t>.</w:t>
      </w:r>
    </w:p>
    <w:p w:rsidR="00942783" w:rsidRPr="00C257C6" w:rsidRDefault="00942783" w:rsidP="00942783">
      <w:pPr>
        <w:numPr>
          <w:ilvl w:val="0"/>
          <w:numId w:val="2"/>
        </w:numPr>
        <w:spacing w:after="0" w:line="240" w:lineRule="auto"/>
        <w:rPr>
          <w:rFonts w:ascii="Arial" w:eastAsia="Times New Roman" w:hAnsi="Arial" w:cs="Arial"/>
          <w:bCs/>
        </w:rPr>
      </w:pPr>
      <w:r w:rsidRPr="00C257C6">
        <w:rPr>
          <w:rFonts w:ascii="Arial" w:eastAsia="Times New Roman" w:hAnsi="Arial" w:cs="Arial"/>
          <w:bCs/>
          <w:color w:val="000000"/>
        </w:rPr>
        <w:t xml:space="preserve">To report any </w:t>
      </w:r>
      <w:r w:rsidR="00325C91" w:rsidRPr="00C257C6">
        <w:rPr>
          <w:rFonts w:ascii="Arial" w:eastAsia="Times New Roman" w:hAnsi="Arial" w:cs="Arial"/>
          <w:bCs/>
          <w:color w:val="000000"/>
        </w:rPr>
        <w:t xml:space="preserve">serious </w:t>
      </w:r>
      <w:r w:rsidRPr="00C257C6">
        <w:rPr>
          <w:rFonts w:ascii="Arial" w:eastAsia="Times New Roman" w:hAnsi="Arial" w:cs="Arial"/>
          <w:bCs/>
          <w:color w:val="000000"/>
        </w:rPr>
        <w:t xml:space="preserve">adverse </w:t>
      </w:r>
      <w:r w:rsidRPr="00C257C6">
        <w:rPr>
          <w:rFonts w:ascii="Arial" w:eastAsia="Times New Roman" w:hAnsi="Arial" w:cs="Arial"/>
          <w:bCs/>
        </w:rPr>
        <w:t xml:space="preserve">reaction to </w:t>
      </w:r>
      <w:r w:rsidR="00C257C6">
        <w:rPr>
          <w:rFonts w:ascii="Arial" w:eastAsia="Times New Roman" w:hAnsi="Arial" w:cs="Arial"/>
          <w:bCs/>
        </w:rPr>
        <w:t>the appropriate bodies e</w:t>
      </w:r>
      <w:r w:rsidR="00673E72">
        <w:rPr>
          <w:rFonts w:ascii="Arial" w:eastAsia="Times New Roman" w:hAnsi="Arial" w:cs="Arial"/>
          <w:bCs/>
        </w:rPr>
        <w:t>.</w:t>
      </w:r>
      <w:r w:rsidR="00C257C6">
        <w:rPr>
          <w:rFonts w:ascii="Arial" w:eastAsia="Times New Roman" w:hAnsi="Arial" w:cs="Arial"/>
          <w:bCs/>
        </w:rPr>
        <w:t>g</w:t>
      </w:r>
      <w:r w:rsidR="00673E72">
        <w:rPr>
          <w:rFonts w:ascii="Arial" w:eastAsia="Times New Roman" w:hAnsi="Arial" w:cs="Arial"/>
          <w:bCs/>
        </w:rPr>
        <w:t>.</w:t>
      </w:r>
      <w:r w:rsidR="00C257C6">
        <w:rPr>
          <w:rFonts w:ascii="Arial" w:eastAsia="Times New Roman" w:hAnsi="Arial" w:cs="Arial"/>
          <w:bCs/>
        </w:rPr>
        <w:t xml:space="preserve"> MHRA </w:t>
      </w:r>
      <w:r w:rsidRPr="00C257C6">
        <w:rPr>
          <w:rFonts w:ascii="Arial" w:eastAsia="Times New Roman" w:hAnsi="Arial" w:cs="Arial"/>
          <w:bCs/>
        </w:rPr>
        <w:t xml:space="preserve"> and the referring </w:t>
      </w:r>
      <w:r w:rsidR="00C257C6" w:rsidRPr="00C257C6">
        <w:rPr>
          <w:rFonts w:ascii="Arial" w:eastAsia="Times New Roman" w:hAnsi="Arial" w:cs="Arial"/>
          <w:bCs/>
        </w:rPr>
        <w:t>specialist</w:t>
      </w:r>
    </w:p>
    <w:p w:rsidR="00942783" w:rsidRPr="00DE4802" w:rsidRDefault="00942783" w:rsidP="00942783">
      <w:pPr>
        <w:numPr>
          <w:ilvl w:val="0"/>
          <w:numId w:val="2"/>
        </w:numPr>
        <w:spacing w:after="0" w:line="240" w:lineRule="auto"/>
        <w:rPr>
          <w:rFonts w:ascii="Arial" w:eastAsia="Times New Roman" w:hAnsi="Arial" w:cs="Arial"/>
          <w:bCs/>
        </w:rPr>
      </w:pPr>
      <w:r w:rsidRPr="00DE4802">
        <w:rPr>
          <w:rFonts w:ascii="Arial" w:eastAsia="Times New Roman" w:hAnsi="Arial" w:cs="Arial"/>
          <w:bCs/>
        </w:rPr>
        <w:t xml:space="preserve">To continue to prescribe for the patient as advised by the </w:t>
      </w:r>
      <w:r w:rsidR="00C257C6">
        <w:rPr>
          <w:rFonts w:ascii="Arial" w:eastAsia="Times New Roman" w:hAnsi="Arial" w:cs="Arial"/>
          <w:bCs/>
        </w:rPr>
        <w:t>specialist</w:t>
      </w:r>
    </w:p>
    <w:p w:rsidR="00942783" w:rsidRPr="00C257C6" w:rsidRDefault="00C257C6" w:rsidP="00942783">
      <w:pPr>
        <w:numPr>
          <w:ilvl w:val="0"/>
          <w:numId w:val="2"/>
        </w:numPr>
        <w:spacing w:after="0" w:line="240" w:lineRule="auto"/>
        <w:rPr>
          <w:rFonts w:ascii="Arial" w:eastAsia="Times New Roman" w:hAnsi="Arial" w:cs="Arial"/>
          <w:bCs/>
        </w:rPr>
      </w:pPr>
      <w:r w:rsidRPr="00C257C6">
        <w:rPr>
          <w:rFonts w:ascii="Arial" w:eastAsia="Times New Roman" w:hAnsi="Arial" w:cs="Arial"/>
          <w:bCs/>
        </w:rPr>
        <w:t>E</w:t>
      </w:r>
      <w:r w:rsidR="00202AFF" w:rsidRPr="00C257C6">
        <w:rPr>
          <w:rFonts w:ascii="Arial" w:eastAsia="Times New Roman" w:hAnsi="Arial" w:cs="Arial"/>
          <w:bCs/>
        </w:rPr>
        <w:t xml:space="preserve">nsure </w:t>
      </w:r>
      <w:r w:rsidR="00942783" w:rsidRPr="00C257C6">
        <w:rPr>
          <w:rFonts w:ascii="Arial" w:eastAsia="Times New Roman" w:hAnsi="Arial" w:cs="Arial"/>
          <w:bCs/>
        </w:rPr>
        <w:t xml:space="preserve">monitoring as </w:t>
      </w:r>
      <w:r w:rsidR="00313798" w:rsidRPr="00C257C6">
        <w:rPr>
          <w:rFonts w:ascii="Arial" w:eastAsia="Times New Roman" w:hAnsi="Arial" w:cs="Arial"/>
          <w:bCs/>
        </w:rPr>
        <w:t>indicated in monitoring section below</w:t>
      </w:r>
    </w:p>
    <w:p w:rsidR="00942783" w:rsidRPr="00DE4802" w:rsidRDefault="00942783" w:rsidP="00942783">
      <w:pPr>
        <w:numPr>
          <w:ilvl w:val="0"/>
          <w:numId w:val="2"/>
        </w:numPr>
        <w:spacing w:after="0" w:line="240" w:lineRule="auto"/>
        <w:rPr>
          <w:rFonts w:ascii="Arial" w:eastAsia="Times New Roman" w:hAnsi="Arial" w:cs="Arial"/>
          <w:bCs/>
        </w:rPr>
      </w:pPr>
      <w:r w:rsidRPr="00DE4802">
        <w:rPr>
          <w:rFonts w:ascii="Arial" w:eastAsia="Times New Roman" w:hAnsi="Arial" w:cs="Arial"/>
          <w:bCs/>
        </w:rPr>
        <w:t xml:space="preserve">To inform the </w:t>
      </w:r>
      <w:r w:rsidR="00C257C6">
        <w:rPr>
          <w:rFonts w:ascii="Arial" w:eastAsia="Times New Roman" w:hAnsi="Arial" w:cs="Arial"/>
          <w:bCs/>
        </w:rPr>
        <w:t>specialist</w:t>
      </w:r>
      <w:r w:rsidRPr="00DE4802">
        <w:rPr>
          <w:rFonts w:ascii="Arial" w:eastAsia="Times New Roman" w:hAnsi="Arial" w:cs="Arial"/>
          <w:bCs/>
        </w:rPr>
        <w:t xml:space="preserve"> if the patient discontinues treatment for any reason</w:t>
      </w:r>
    </w:p>
    <w:p w:rsidR="00942783" w:rsidRPr="00942783" w:rsidRDefault="00942783" w:rsidP="002B58E5">
      <w:pPr>
        <w:numPr>
          <w:ilvl w:val="0"/>
          <w:numId w:val="2"/>
        </w:numPr>
        <w:spacing w:after="0" w:line="240" w:lineRule="auto"/>
        <w:rPr>
          <w:rFonts w:ascii="Arial" w:eastAsia="Times New Roman" w:hAnsi="Arial" w:cs="Arial"/>
          <w:bCs/>
          <w:color w:val="000000"/>
        </w:rPr>
      </w:pPr>
      <w:r w:rsidRPr="00DE4802">
        <w:rPr>
          <w:rFonts w:ascii="Arial" w:eastAsia="Times New Roman" w:hAnsi="Arial" w:cs="Arial"/>
          <w:bCs/>
        </w:rPr>
        <w:t xml:space="preserve">To seek the advice of the </w:t>
      </w:r>
      <w:r w:rsidR="00C257C6">
        <w:rPr>
          <w:rFonts w:ascii="Arial" w:eastAsia="Times New Roman" w:hAnsi="Arial" w:cs="Arial"/>
          <w:bCs/>
        </w:rPr>
        <w:t>specialist</w:t>
      </w:r>
      <w:r w:rsidRPr="00DE4802">
        <w:rPr>
          <w:rFonts w:ascii="Arial" w:eastAsia="Times New Roman" w:hAnsi="Arial" w:cs="Arial"/>
          <w:bCs/>
        </w:rPr>
        <w:t xml:space="preserve"> if any concerns</w:t>
      </w:r>
      <w:r w:rsidRPr="00942783">
        <w:rPr>
          <w:rFonts w:ascii="Arial" w:eastAsia="Times New Roman" w:hAnsi="Arial" w:cs="Arial"/>
          <w:bCs/>
          <w:color w:val="000000"/>
        </w:rPr>
        <w:t xml:space="preserve"> with the patient’s therapy</w:t>
      </w:r>
      <w:r w:rsidR="002B58E5" w:rsidRPr="002B58E5">
        <w:t xml:space="preserve"> </w:t>
      </w:r>
      <w:r w:rsidR="002B58E5">
        <w:rPr>
          <w:rFonts w:ascii="Arial" w:eastAsia="Times New Roman" w:hAnsi="Arial" w:cs="Arial"/>
          <w:bCs/>
          <w:color w:val="000000"/>
        </w:rPr>
        <w:t>and r</w:t>
      </w:r>
      <w:r w:rsidR="002B58E5" w:rsidRPr="002B58E5">
        <w:rPr>
          <w:rFonts w:ascii="Arial" w:eastAsia="Times New Roman" w:hAnsi="Arial" w:cs="Arial"/>
          <w:bCs/>
          <w:color w:val="000000"/>
        </w:rPr>
        <w:t>eport adverse events to the specialist sharing the care of the patient</w:t>
      </w:r>
    </w:p>
    <w:p w:rsidR="00942783" w:rsidRPr="00C257C6" w:rsidRDefault="00942783" w:rsidP="00942783">
      <w:pPr>
        <w:numPr>
          <w:ilvl w:val="0"/>
          <w:numId w:val="2"/>
        </w:numPr>
        <w:spacing w:after="0" w:line="240" w:lineRule="auto"/>
        <w:rPr>
          <w:rFonts w:ascii="Arial" w:eastAsia="Times New Roman" w:hAnsi="Arial" w:cs="Arial"/>
          <w:bCs/>
          <w:color w:val="000000"/>
        </w:rPr>
      </w:pPr>
      <w:r w:rsidRPr="00C257C6">
        <w:rPr>
          <w:rFonts w:ascii="Arial" w:eastAsia="Times New Roman" w:hAnsi="Arial" w:cs="Arial"/>
          <w:bCs/>
          <w:color w:val="000000"/>
        </w:rPr>
        <w:t xml:space="preserve">To conduct an annual medication </w:t>
      </w:r>
      <w:r w:rsidRPr="00C257C6">
        <w:rPr>
          <w:rFonts w:ascii="Arial" w:eastAsia="Times New Roman" w:hAnsi="Arial" w:cs="Arial"/>
          <w:bCs/>
        </w:rPr>
        <w:t xml:space="preserve">review </w:t>
      </w:r>
    </w:p>
    <w:p w:rsidR="00942783" w:rsidRDefault="00942783" w:rsidP="00942783">
      <w:pPr>
        <w:numPr>
          <w:ilvl w:val="0"/>
          <w:numId w:val="2"/>
        </w:numPr>
        <w:autoSpaceDE w:val="0"/>
        <w:autoSpaceDN w:val="0"/>
        <w:adjustRightInd w:val="0"/>
        <w:spacing w:after="0" w:line="240" w:lineRule="auto"/>
        <w:rPr>
          <w:rFonts w:ascii="Arial" w:eastAsia="Batang" w:hAnsi="Arial" w:cs="Arial"/>
          <w:color w:val="000000"/>
          <w:lang w:eastAsia="ko-KR"/>
        </w:rPr>
      </w:pPr>
      <w:r w:rsidRPr="00942783">
        <w:rPr>
          <w:rFonts w:ascii="Arial" w:eastAsia="Batang" w:hAnsi="Arial" w:cs="Arial"/>
          <w:color w:val="000000"/>
          <w:lang w:eastAsia="ko-KR"/>
        </w:rPr>
        <w:t xml:space="preserve">For medication supplied from another provider </w:t>
      </w:r>
      <w:r w:rsidR="00C257C6">
        <w:rPr>
          <w:rFonts w:ascii="Arial" w:eastAsia="Batang" w:hAnsi="Arial" w:cs="Arial"/>
          <w:color w:val="000000"/>
          <w:lang w:eastAsia="ko-KR"/>
        </w:rPr>
        <w:t>prescribers</w:t>
      </w:r>
      <w:r w:rsidRPr="00942783">
        <w:rPr>
          <w:rFonts w:ascii="Arial" w:eastAsia="Batang" w:hAnsi="Arial" w:cs="Arial"/>
          <w:color w:val="000000"/>
          <w:lang w:eastAsia="ko-KR"/>
        </w:rPr>
        <w:t xml:space="preserve"> are advised to follow recommendations for </w:t>
      </w:r>
      <w:r w:rsidR="002B58E5">
        <w:rPr>
          <w:rFonts w:ascii="Arial" w:eastAsia="Batang" w:hAnsi="Arial" w:cs="Arial"/>
          <w:color w:val="000000"/>
          <w:lang w:eastAsia="ko-KR"/>
        </w:rPr>
        <w:t>‘</w:t>
      </w:r>
      <w:r w:rsidRPr="00942783">
        <w:rPr>
          <w:rFonts w:ascii="Arial" w:eastAsia="Batang" w:hAnsi="Arial" w:cs="Arial"/>
          <w:color w:val="000000"/>
          <w:lang w:eastAsia="ko-KR"/>
        </w:rPr>
        <w:t xml:space="preserve">Recording </w:t>
      </w:r>
      <w:r w:rsidRPr="00C257C6">
        <w:rPr>
          <w:rFonts w:ascii="Arial" w:eastAsia="Batang" w:hAnsi="Arial" w:cs="Arial"/>
          <w:color w:val="000000"/>
          <w:lang w:eastAsia="ko-KR"/>
        </w:rPr>
        <w:t>Specialist Issued Drugs on Clinical Practice Systems</w:t>
      </w:r>
      <w:r w:rsidR="002B58E5">
        <w:rPr>
          <w:rFonts w:ascii="Arial" w:eastAsia="Batang" w:hAnsi="Arial" w:cs="Arial"/>
          <w:color w:val="000000"/>
          <w:lang w:eastAsia="ko-KR"/>
        </w:rPr>
        <w:t>’</w:t>
      </w:r>
      <w:r w:rsidRPr="00942783">
        <w:rPr>
          <w:rFonts w:ascii="Arial" w:eastAsia="Batang" w:hAnsi="Arial" w:cs="Arial"/>
          <w:color w:val="000000"/>
          <w:lang w:eastAsia="ko-KR"/>
        </w:rPr>
        <w:t xml:space="preserve"> </w:t>
      </w:r>
    </w:p>
    <w:p w:rsidR="002B58E5" w:rsidRPr="002B58E5" w:rsidRDefault="002B58E5" w:rsidP="002B58E5">
      <w:pPr>
        <w:numPr>
          <w:ilvl w:val="0"/>
          <w:numId w:val="2"/>
        </w:numPr>
        <w:autoSpaceDE w:val="0"/>
        <w:autoSpaceDN w:val="0"/>
        <w:adjustRightInd w:val="0"/>
        <w:spacing w:after="0" w:line="240" w:lineRule="auto"/>
        <w:rPr>
          <w:rFonts w:ascii="Arial" w:eastAsia="Batang" w:hAnsi="Arial" w:cs="Arial"/>
          <w:color w:val="000000"/>
          <w:lang w:eastAsia="ko-KR"/>
        </w:rPr>
      </w:pPr>
      <w:r w:rsidRPr="002B58E5">
        <w:rPr>
          <w:rFonts w:ascii="Arial" w:eastAsia="Batang" w:hAnsi="Arial" w:cs="Arial"/>
          <w:color w:val="000000"/>
          <w:lang w:eastAsia="ko-KR"/>
        </w:rPr>
        <w:t>Stop treatment on advice of specialist, or immediately if intolerable side effects occur provided that it is safer to do so than to continue this therapy</w:t>
      </w:r>
    </w:p>
    <w:p w:rsidR="00942783" w:rsidRPr="005C6733" w:rsidRDefault="00B97E6F" w:rsidP="005C6733">
      <w:pPr>
        <w:numPr>
          <w:ilvl w:val="0"/>
          <w:numId w:val="2"/>
        </w:numPr>
        <w:autoSpaceDE w:val="0"/>
        <w:autoSpaceDN w:val="0"/>
        <w:adjustRightInd w:val="0"/>
        <w:spacing w:after="0" w:line="240" w:lineRule="auto"/>
        <w:rPr>
          <w:rFonts w:ascii="Arial" w:eastAsia="Batang" w:hAnsi="Arial" w:cs="Arial"/>
          <w:color w:val="000000"/>
          <w:lang w:eastAsia="ko-KR"/>
        </w:rPr>
      </w:pPr>
      <w:r w:rsidRPr="00B97E6F">
        <w:rPr>
          <w:rFonts w:ascii="Arial" w:eastAsia="Batang" w:hAnsi="Arial" w:cs="Arial"/>
          <w:color w:val="000000"/>
          <w:lang w:eastAsia="ko-KR"/>
        </w:rPr>
        <w:t>Report adverse events via the Yellow Card reporting system in the BNF or at  https://yellowcard.mhra.gov.uk/</w:t>
      </w:r>
      <w:r w:rsidR="00942783" w:rsidRPr="005C6733">
        <w:rPr>
          <w:rFonts w:ascii="Arial" w:eastAsia="Times New Roman" w:hAnsi="Arial" w:cs="Arial"/>
          <w:bCs/>
          <w:color w:val="000000"/>
        </w:rPr>
        <w:t xml:space="preserve"> </w:t>
      </w:r>
    </w:p>
    <w:p w:rsidR="002B58E5" w:rsidRDefault="002B58E5" w:rsidP="00B97E6F">
      <w:pPr>
        <w:spacing w:after="0" w:line="240" w:lineRule="auto"/>
        <w:rPr>
          <w:rFonts w:ascii="Arial" w:eastAsia="Times New Roman" w:hAnsi="Arial" w:cs="Arial"/>
          <w:b/>
          <w:bCs/>
          <w:color w:val="000000"/>
          <w:sz w:val="24"/>
          <w:szCs w:val="28"/>
        </w:rPr>
      </w:pPr>
    </w:p>
    <w:p w:rsidR="00942783" w:rsidRPr="00C257C6" w:rsidRDefault="00942783" w:rsidP="00942783">
      <w:pPr>
        <w:spacing w:after="0" w:line="240" w:lineRule="auto"/>
        <w:rPr>
          <w:rFonts w:ascii="Arial" w:eastAsia="Times New Roman" w:hAnsi="Arial" w:cs="Arial"/>
          <w:b/>
          <w:bCs/>
          <w:color w:val="000000"/>
          <w:sz w:val="24"/>
          <w:szCs w:val="28"/>
        </w:rPr>
      </w:pPr>
      <w:r w:rsidRPr="00C257C6">
        <w:rPr>
          <w:rFonts w:ascii="Arial" w:eastAsia="Times New Roman" w:hAnsi="Arial" w:cs="Arial"/>
          <w:b/>
          <w:bCs/>
          <w:color w:val="000000"/>
          <w:sz w:val="24"/>
          <w:szCs w:val="28"/>
        </w:rPr>
        <w:t>Responsibilities of Patients or Carers</w:t>
      </w:r>
    </w:p>
    <w:p w:rsidR="00942783" w:rsidRPr="00A42572" w:rsidRDefault="00942783" w:rsidP="00942783">
      <w:pPr>
        <w:spacing w:after="0" w:line="240" w:lineRule="auto"/>
        <w:rPr>
          <w:rFonts w:ascii="Arial" w:eastAsia="Times New Roman" w:hAnsi="Arial" w:cs="Arial"/>
          <w:b/>
          <w:bCs/>
          <w:color w:val="000000"/>
          <w:sz w:val="24"/>
          <w:szCs w:val="28"/>
          <w:highlight w:val="yellow"/>
        </w:rPr>
      </w:pPr>
    </w:p>
    <w:p w:rsidR="00863463" w:rsidRDefault="00533281" w:rsidP="00533281">
      <w:pPr>
        <w:numPr>
          <w:ilvl w:val="0"/>
          <w:numId w:val="5"/>
        </w:numPr>
        <w:autoSpaceDE w:val="0"/>
        <w:autoSpaceDN w:val="0"/>
        <w:adjustRightInd w:val="0"/>
        <w:spacing w:after="0" w:line="240" w:lineRule="auto"/>
        <w:rPr>
          <w:rFonts w:ascii="Arial" w:hAnsi="Arial" w:cs="Arial"/>
          <w:lang w:eastAsia="en-GB"/>
        </w:rPr>
      </w:pPr>
      <w:r w:rsidRPr="00533281">
        <w:rPr>
          <w:rFonts w:ascii="Arial" w:hAnsi="Arial" w:cs="Arial"/>
          <w:lang w:eastAsia="en-GB"/>
        </w:rPr>
        <w:t>Discuss potential benefits and side effects of treatment with the specialist. Identify whether they have a clear picture of these from the specialist and to raise any outstanding queries</w:t>
      </w:r>
      <w:r w:rsidR="00673E72">
        <w:rPr>
          <w:rFonts w:ascii="Arial" w:hAnsi="Arial" w:cs="Arial"/>
          <w:lang w:eastAsia="en-GB"/>
        </w:rPr>
        <w:t>.</w:t>
      </w:r>
      <w:r w:rsidRPr="00533281">
        <w:rPr>
          <w:rFonts w:ascii="Arial" w:hAnsi="Arial" w:cs="Arial"/>
          <w:lang w:eastAsia="en-GB"/>
        </w:rPr>
        <w:t xml:space="preserve"> </w:t>
      </w:r>
      <w:r w:rsidR="00863463" w:rsidRPr="00C257C6">
        <w:rPr>
          <w:rFonts w:ascii="Arial" w:hAnsi="Arial" w:cs="Arial"/>
          <w:lang w:eastAsia="en-GB"/>
        </w:rPr>
        <w:t>To be fully involved in, and in agreement with, the decision to move to shared care</w:t>
      </w:r>
    </w:p>
    <w:p w:rsidR="00673E72" w:rsidRPr="00673E72" w:rsidRDefault="00673E72" w:rsidP="00673E72">
      <w:pPr>
        <w:numPr>
          <w:ilvl w:val="0"/>
          <w:numId w:val="5"/>
        </w:numPr>
        <w:autoSpaceDE w:val="0"/>
        <w:autoSpaceDN w:val="0"/>
        <w:adjustRightInd w:val="0"/>
        <w:spacing w:after="14" w:line="240" w:lineRule="auto"/>
        <w:rPr>
          <w:rFonts w:ascii="Arial" w:hAnsi="Arial" w:cs="Arial"/>
          <w:lang w:eastAsia="en-GB"/>
        </w:rPr>
      </w:pPr>
      <w:r w:rsidRPr="00533281">
        <w:rPr>
          <w:rFonts w:ascii="Arial" w:hAnsi="Arial" w:cs="Arial"/>
          <w:lang w:eastAsia="en-GB"/>
        </w:rPr>
        <w:t xml:space="preserve">To read the product information given to them </w:t>
      </w:r>
    </w:p>
    <w:p w:rsidR="00673E72" w:rsidRPr="00673E72" w:rsidRDefault="00673E72" w:rsidP="00673E72">
      <w:pPr>
        <w:pStyle w:val="ListParagraph"/>
        <w:numPr>
          <w:ilvl w:val="0"/>
          <w:numId w:val="5"/>
        </w:numPr>
        <w:rPr>
          <w:rFonts w:ascii="Arial" w:hAnsi="Arial" w:cs="Arial"/>
          <w:lang w:val="en-GB" w:eastAsia="en-GB"/>
        </w:rPr>
      </w:pPr>
      <w:r w:rsidRPr="00673E72">
        <w:rPr>
          <w:rFonts w:ascii="Arial" w:hAnsi="Arial" w:cs="Arial"/>
          <w:lang w:val="en-GB" w:eastAsia="en-GB"/>
        </w:rPr>
        <w:t xml:space="preserve">To take Bicalcutamide as prescribed </w:t>
      </w:r>
    </w:p>
    <w:p w:rsidR="00942783" w:rsidRPr="00C257C6" w:rsidRDefault="00942783" w:rsidP="00533281">
      <w:pPr>
        <w:numPr>
          <w:ilvl w:val="0"/>
          <w:numId w:val="5"/>
        </w:numPr>
        <w:autoSpaceDE w:val="0"/>
        <w:autoSpaceDN w:val="0"/>
        <w:adjustRightInd w:val="0"/>
        <w:spacing w:after="0" w:line="240" w:lineRule="auto"/>
        <w:rPr>
          <w:rFonts w:ascii="Arial" w:hAnsi="Arial" w:cs="Arial"/>
          <w:color w:val="000000"/>
          <w:lang w:eastAsia="en-GB"/>
        </w:rPr>
      </w:pPr>
      <w:r w:rsidRPr="00C257C6">
        <w:rPr>
          <w:rFonts w:ascii="Arial" w:hAnsi="Arial" w:cs="Arial"/>
          <w:color w:val="000000"/>
          <w:lang w:eastAsia="en-GB"/>
        </w:rPr>
        <w:t xml:space="preserve">To attend hospital and </w:t>
      </w:r>
      <w:r w:rsidR="00C257C6">
        <w:rPr>
          <w:rFonts w:ascii="Arial" w:hAnsi="Arial" w:cs="Arial"/>
          <w:color w:val="000000"/>
          <w:lang w:eastAsia="en-GB"/>
        </w:rPr>
        <w:t>primary care</w:t>
      </w:r>
      <w:r w:rsidRPr="00C257C6">
        <w:rPr>
          <w:rFonts w:ascii="Arial" w:hAnsi="Arial" w:cs="Arial"/>
          <w:color w:val="000000"/>
          <w:lang w:eastAsia="en-GB"/>
        </w:rPr>
        <w:t xml:space="preserve"> clinic appointments and to bring monitoring </w:t>
      </w:r>
      <w:r w:rsidR="00C257C6">
        <w:rPr>
          <w:rFonts w:ascii="Arial" w:hAnsi="Arial" w:cs="Arial"/>
          <w:color w:val="000000"/>
          <w:lang w:eastAsia="en-GB"/>
        </w:rPr>
        <w:t xml:space="preserve">information eg: </w:t>
      </w:r>
      <w:r w:rsidRPr="00C257C6">
        <w:rPr>
          <w:rFonts w:ascii="Arial" w:hAnsi="Arial" w:cs="Arial"/>
          <w:color w:val="000000"/>
          <w:lang w:eastAsia="en-GB"/>
        </w:rPr>
        <w:t>booklet</w:t>
      </w:r>
      <w:r w:rsidR="00533281">
        <w:rPr>
          <w:rFonts w:ascii="Arial" w:hAnsi="Arial" w:cs="Arial"/>
          <w:color w:val="000000"/>
          <w:lang w:eastAsia="en-GB"/>
        </w:rPr>
        <w:t>,</w:t>
      </w:r>
      <w:r w:rsidRPr="00C257C6">
        <w:rPr>
          <w:rFonts w:ascii="Arial" w:hAnsi="Arial" w:cs="Arial"/>
          <w:color w:val="000000"/>
          <w:lang w:eastAsia="en-GB"/>
        </w:rPr>
        <w:t xml:space="preserve"> </w:t>
      </w:r>
      <w:r w:rsidR="00533281" w:rsidRPr="00533281">
        <w:rPr>
          <w:rFonts w:ascii="Arial" w:hAnsi="Arial" w:cs="Arial"/>
          <w:color w:val="000000"/>
          <w:lang w:eastAsia="en-GB"/>
        </w:rPr>
        <w:t xml:space="preserve">patient-held record or information sheet for monitoring </w:t>
      </w:r>
      <w:r w:rsidR="00533281">
        <w:rPr>
          <w:rFonts w:ascii="Arial" w:hAnsi="Arial" w:cs="Arial"/>
          <w:color w:val="000000"/>
          <w:lang w:eastAsia="en-GB"/>
        </w:rPr>
        <w:t xml:space="preserve">(if required) and </w:t>
      </w:r>
      <w:r w:rsidR="00533281" w:rsidRPr="00533281">
        <w:rPr>
          <w:rFonts w:ascii="Arial" w:hAnsi="Arial" w:cs="Arial"/>
          <w:color w:val="000000"/>
          <w:lang w:eastAsia="en-GB"/>
        </w:rPr>
        <w:t>to alert other clinical staff to the treatment they are receiving</w:t>
      </w:r>
      <w:r w:rsidR="00533281">
        <w:rPr>
          <w:rFonts w:ascii="Arial" w:hAnsi="Arial" w:cs="Arial"/>
          <w:color w:val="000000"/>
          <w:lang w:eastAsia="en-GB"/>
        </w:rPr>
        <w:t>.</w:t>
      </w:r>
      <w:r w:rsidR="00533281" w:rsidRPr="00533281">
        <w:rPr>
          <w:rFonts w:ascii="Arial" w:hAnsi="Arial" w:cs="Arial"/>
          <w:color w:val="000000"/>
          <w:lang w:eastAsia="en-GB"/>
        </w:rPr>
        <w:t xml:space="preserve"> </w:t>
      </w:r>
      <w:r w:rsidRPr="00C257C6">
        <w:rPr>
          <w:rFonts w:ascii="Arial" w:hAnsi="Arial" w:cs="Arial"/>
          <w:color w:val="000000"/>
          <w:lang w:eastAsia="en-GB"/>
        </w:rPr>
        <w:t xml:space="preserve">Failure to attend </w:t>
      </w:r>
      <w:r w:rsidR="00533281">
        <w:rPr>
          <w:rFonts w:ascii="Arial" w:hAnsi="Arial" w:cs="Arial"/>
          <w:color w:val="000000"/>
          <w:lang w:eastAsia="en-GB"/>
        </w:rPr>
        <w:t xml:space="preserve">appointments </w:t>
      </w:r>
      <w:r w:rsidRPr="00C257C6">
        <w:rPr>
          <w:rFonts w:ascii="Arial" w:hAnsi="Arial" w:cs="Arial"/>
          <w:color w:val="000000"/>
          <w:lang w:eastAsia="en-GB"/>
        </w:rPr>
        <w:t xml:space="preserve">will potentially result in the medication being stopped. </w:t>
      </w:r>
    </w:p>
    <w:p w:rsidR="00942783" w:rsidRPr="00C257C6" w:rsidRDefault="00942783" w:rsidP="00942783">
      <w:pPr>
        <w:numPr>
          <w:ilvl w:val="0"/>
          <w:numId w:val="5"/>
        </w:numPr>
        <w:autoSpaceDE w:val="0"/>
        <w:autoSpaceDN w:val="0"/>
        <w:adjustRightInd w:val="0"/>
        <w:spacing w:after="0" w:line="240" w:lineRule="auto"/>
        <w:rPr>
          <w:rFonts w:ascii="Arial" w:hAnsi="Arial" w:cs="Arial"/>
          <w:color w:val="000000"/>
          <w:lang w:eastAsia="en-GB"/>
        </w:rPr>
      </w:pPr>
      <w:r w:rsidRPr="00C257C6">
        <w:rPr>
          <w:rFonts w:ascii="Arial" w:hAnsi="Arial" w:cs="Arial"/>
          <w:color w:val="000000"/>
          <w:lang w:eastAsia="en-GB"/>
        </w:rPr>
        <w:t xml:space="preserve">Present rapidly to the </w:t>
      </w:r>
      <w:r w:rsidR="00C257C6">
        <w:rPr>
          <w:rFonts w:ascii="Arial" w:hAnsi="Arial" w:cs="Arial"/>
          <w:color w:val="000000"/>
          <w:lang w:eastAsia="en-GB"/>
        </w:rPr>
        <w:t>primary care prescriber or specialist should the</w:t>
      </w:r>
      <w:r w:rsidRPr="00C257C6">
        <w:rPr>
          <w:rFonts w:ascii="Arial" w:hAnsi="Arial" w:cs="Arial"/>
          <w:color w:val="000000"/>
          <w:lang w:eastAsia="en-GB"/>
        </w:rPr>
        <w:t xml:space="preserve"> clinical condition significantly worsen. </w:t>
      </w:r>
    </w:p>
    <w:p w:rsidR="00942783" w:rsidRPr="00533281" w:rsidRDefault="00942783" w:rsidP="00942783">
      <w:pPr>
        <w:numPr>
          <w:ilvl w:val="0"/>
          <w:numId w:val="5"/>
        </w:numPr>
        <w:autoSpaceDE w:val="0"/>
        <w:autoSpaceDN w:val="0"/>
        <w:adjustRightInd w:val="0"/>
        <w:spacing w:after="14" w:line="240" w:lineRule="auto"/>
        <w:rPr>
          <w:rFonts w:ascii="Arial" w:hAnsi="Arial" w:cs="Arial"/>
          <w:lang w:eastAsia="en-GB"/>
        </w:rPr>
      </w:pPr>
      <w:r w:rsidRPr="00C257C6">
        <w:rPr>
          <w:rFonts w:ascii="Arial" w:hAnsi="Arial" w:cs="Arial"/>
          <w:color w:val="000000"/>
          <w:lang w:eastAsia="en-GB"/>
        </w:rPr>
        <w:t xml:space="preserve">Report any suspected adverse effects to their specialist or </w:t>
      </w:r>
      <w:r w:rsidR="00C257C6">
        <w:rPr>
          <w:rFonts w:ascii="Arial" w:hAnsi="Arial" w:cs="Arial"/>
          <w:color w:val="000000"/>
          <w:lang w:eastAsia="en-GB"/>
        </w:rPr>
        <w:t>primary care prescriber</w:t>
      </w:r>
      <w:r w:rsidRPr="00C257C6">
        <w:rPr>
          <w:rFonts w:ascii="Arial" w:hAnsi="Arial" w:cs="Arial"/>
          <w:color w:val="000000"/>
          <w:lang w:eastAsia="en-GB"/>
        </w:rPr>
        <w:t xml:space="preserve"> whilst taking </w:t>
      </w:r>
      <w:r w:rsidR="00533281" w:rsidRPr="00533281">
        <w:rPr>
          <w:rFonts w:ascii="Arial" w:hAnsi="Arial" w:cs="Arial"/>
          <w:lang w:eastAsia="en-GB"/>
        </w:rPr>
        <w:t>Bicalutamide</w:t>
      </w:r>
    </w:p>
    <w:p w:rsidR="00942783" w:rsidRDefault="00942783" w:rsidP="00942783">
      <w:pPr>
        <w:numPr>
          <w:ilvl w:val="0"/>
          <w:numId w:val="5"/>
        </w:numPr>
        <w:autoSpaceDE w:val="0"/>
        <w:autoSpaceDN w:val="0"/>
        <w:adjustRightInd w:val="0"/>
        <w:spacing w:after="14" w:line="240" w:lineRule="auto"/>
        <w:rPr>
          <w:rFonts w:ascii="Arial" w:hAnsi="Arial" w:cs="Arial"/>
          <w:color w:val="000000"/>
          <w:lang w:eastAsia="en-GB"/>
        </w:rPr>
      </w:pPr>
      <w:r w:rsidRPr="00533281">
        <w:rPr>
          <w:rFonts w:ascii="Arial" w:hAnsi="Arial" w:cs="Arial"/>
          <w:lang w:eastAsia="en-GB"/>
        </w:rPr>
        <w:t>Inform the specialist</w:t>
      </w:r>
      <w:r w:rsidRPr="00C257C6">
        <w:rPr>
          <w:rFonts w:ascii="Arial" w:hAnsi="Arial" w:cs="Arial"/>
          <w:color w:val="000000"/>
          <w:lang w:eastAsia="en-GB"/>
        </w:rPr>
        <w:t xml:space="preserve">, </w:t>
      </w:r>
      <w:r w:rsidR="00B065F2">
        <w:rPr>
          <w:rFonts w:ascii="Arial" w:hAnsi="Arial" w:cs="Arial"/>
          <w:color w:val="000000"/>
          <w:lang w:eastAsia="en-GB"/>
        </w:rPr>
        <w:t>primary care prescriber</w:t>
      </w:r>
      <w:r w:rsidRPr="00C257C6">
        <w:rPr>
          <w:rFonts w:ascii="Arial" w:hAnsi="Arial" w:cs="Arial"/>
          <w:color w:val="000000"/>
          <w:lang w:eastAsia="en-GB"/>
        </w:rPr>
        <w:t xml:space="preserve"> or community pharmacist dispensing their prescriptions of any other medication being taken – including over-the-counter medication. </w:t>
      </w:r>
    </w:p>
    <w:p w:rsidR="00533281" w:rsidRDefault="00533281" w:rsidP="00533281">
      <w:pPr>
        <w:numPr>
          <w:ilvl w:val="0"/>
          <w:numId w:val="5"/>
        </w:numPr>
        <w:autoSpaceDE w:val="0"/>
        <w:autoSpaceDN w:val="0"/>
        <w:adjustRightInd w:val="0"/>
        <w:spacing w:after="14" w:line="240" w:lineRule="auto"/>
        <w:rPr>
          <w:rFonts w:ascii="Arial" w:hAnsi="Arial" w:cs="Arial"/>
          <w:color w:val="000000"/>
          <w:lang w:eastAsia="en-GB"/>
        </w:rPr>
      </w:pPr>
      <w:r w:rsidRPr="00533281">
        <w:rPr>
          <w:rFonts w:ascii="Arial" w:hAnsi="Arial" w:cs="Arial"/>
          <w:color w:val="000000"/>
          <w:lang w:eastAsia="en-GB"/>
        </w:rPr>
        <w:t>Participate in the monitoring of therapy and the assessment of outcomes, to assist health professionals to provide safe, appropriate treatment</w:t>
      </w:r>
    </w:p>
    <w:p w:rsidR="002B58E5" w:rsidRDefault="002B58E5" w:rsidP="00830C5A">
      <w:pPr>
        <w:pStyle w:val="Title"/>
        <w:jc w:val="left"/>
        <w:rPr>
          <w:b w:val="0"/>
          <w:color w:val="000000"/>
          <w:sz w:val="20"/>
          <w:szCs w:val="20"/>
        </w:rPr>
      </w:pPr>
    </w:p>
    <w:p w:rsidR="00830C5A" w:rsidRDefault="00830C5A" w:rsidP="00830C5A">
      <w:pPr>
        <w:pStyle w:val="Title"/>
        <w:jc w:val="left"/>
        <w:rPr>
          <w:color w:val="000000"/>
          <w:sz w:val="24"/>
        </w:rPr>
      </w:pPr>
      <w:r>
        <w:rPr>
          <w:color w:val="000000"/>
          <w:sz w:val="24"/>
        </w:rPr>
        <w:t>Indication</w:t>
      </w:r>
    </w:p>
    <w:p w:rsidR="00B27624" w:rsidRDefault="00B27624" w:rsidP="00830C5A">
      <w:pPr>
        <w:pStyle w:val="Title"/>
        <w:jc w:val="left"/>
        <w:rPr>
          <w:color w:val="000000"/>
          <w:sz w:val="24"/>
        </w:rPr>
      </w:pPr>
    </w:p>
    <w:p w:rsidR="005C2308" w:rsidRPr="005C2308" w:rsidRDefault="005C2308" w:rsidP="005C2308">
      <w:pPr>
        <w:pStyle w:val="Title"/>
        <w:jc w:val="left"/>
        <w:rPr>
          <w:b w:val="0"/>
          <w:sz w:val="22"/>
          <w:szCs w:val="22"/>
        </w:rPr>
      </w:pPr>
      <w:r w:rsidRPr="005C2308">
        <w:rPr>
          <w:b w:val="0"/>
          <w:sz w:val="22"/>
          <w:szCs w:val="22"/>
        </w:rPr>
        <w:t xml:space="preserve">Cancer of the prostate usually responds to hormonal treatment aimed at androgen depletion. Standard treatments include bilateral orchidectomy, use of a gonadorelin analogue or anti-androgen such as bicalutamide. No entirely satisfactory therapy exists for disease </w:t>
      </w:r>
      <w:r w:rsidRPr="005C2308">
        <w:rPr>
          <w:b w:val="0"/>
          <w:sz w:val="22"/>
          <w:szCs w:val="22"/>
        </w:rPr>
        <w:lastRenderedPageBreak/>
        <w:t>progression despite this treatment (hormone-refractory prostate cancer) but occasional patients respond to other hormone manipulation e.g. with an anti-androgen as additional treatment in conjunction with an LHRH agonist.</w:t>
      </w:r>
    </w:p>
    <w:p w:rsidR="00830C5A" w:rsidRDefault="005C2308" w:rsidP="005C2308">
      <w:pPr>
        <w:rPr>
          <w:rFonts w:cs="Arial"/>
          <w:color w:val="FF0000"/>
          <w:lang w:eastAsia="en-GB"/>
        </w:rPr>
      </w:pPr>
      <w:r w:rsidRPr="005C2308">
        <w:rPr>
          <w:rFonts w:ascii="Arial" w:eastAsia="Times New Roman" w:hAnsi="Arial" w:cs="Arial"/>
          <w:bCs/>
        </w:rPr>
        <w:t>Bicalutamide may be used as monotherapy in advanced disease, or in conjunction with radiotherapy or with a gonadorelin analogue</w:t>
      </w:r>
      <w:r>
        <w:rPr>
          <w:rFonts w:cs="Arial"/>
          <w:color w:val="FF0000"/>
          <w:lang w:eastAsia="en-GB"/>
        </w:rPr>
        <w:t xml:space="preserve"> </w:t>
      </w:r>
    </w:p>
    <w:p w:rsidR="005C2308" w:rsidRDefault="005C2308" w:rsidP="005C2308">
      <w:pPr>
        <w:pStyle w:val="Title"/>
        <w:jc w:val="left"/>
        <w:rPr>
          <w:b w:val="0"/>
          <w:sz w:val="22"/>
          <w:szCs w:val="22"/>
        </w:rPr>
      </w:pPr>
      <w:r w:rsidRPr="005C2308">
        <w:rPr>
          <w:b w:val="0"/>
          <w:sz w:val="22"/>
          <w:szCs w:val="22"/>
        </w:rPr>
        <w:t xml:space="preserve">In January 2014, the National Institute for Clinical Excellence (NICE) published a Clinical Guideline on the diagnosis and management of prostate cancer (CG175). </w:t>
      </w:r>
    </w:p>
    <w:p w:rsidR="005C2308" w:rsidRPr="005C2308" w:rsidRDefault="005C2308" w:rsidP="005C2308">
      <w:pPr>
        <w:pStyle w:val="Title"/>
        <w:jc w:val="left"/>
        <w:rPr>
          <w:b w:val="0"/>
          <w:sz w:val="22"/>
          <w:szCs w:val="22"/>
        </w:rPr>
      </w:pPr>
    </w:p>
    <w:p w:rsidR="005C2308" w:rsidRPr="005C2308" w:rsidRDefault="005C2308" w:rsidP="005C2308">
      <w:pPr>
        <w:spacing w:line="240" w:lineRule="auto"/>
        <w:rPr>
          <w:rFonts w:ascii="Arial" w:eastAsia="Times New Roman" w:hAnsi="Arial" w:cs="Arial"/>
          <w:bCs/>
        </w:rPr>
      </w:pPr>
      <w:r w:rsidRPr="005C2308">
        <w:rPr>
          <w:rFonts w:ascii="Arial" w:eastAsia="Times New Roman" w:hAnsi="Arial" w:cs="Arial"/>
          <w:bCs/>
        </w:rPr>
        <w:t>NICE recommended that anti-androgens should be considered in men with metastatic disease as an alternative to LHRH agonist therapy in those wishing to preserve sexual function. Whilst not first line therapy, combined androgen blockade with LHRH agonist and bicalutamide may be rarely considered. It may be used as hormone treatment following failure of previous radical treatment for localised disease.</w:t>
      </w:r>
    </w:p>
    <w:p w:rsidR="001A7644" w:rsidRPr="001A7644" w:rsidRDefault="00830C5A" w:rsidP="001A7644">
      <w:pPr>
        <w:rPr>
          <w:rFonts w:ascii="Arial" w:hAnsi="Arial" w:cs="Arial"/>
          <w:b/>
          <w:sz w:val="24"/>
          <w:szCs w:val="24"/>
          <w:lang w:eastAsia="en-GB"/>
        </w:rPr>
      </w:pPr>
      <w:r w:rsidRPr="00357498">
        <w:rPr>
          <w:rFonts w:ascii="Arial" w:hAnsi="Arial" w:cs="Arial"/>
          <w:b/>
          <w:sz w:val="24"/>
          <w:szCs w:val="24"/>
          <w:lang w:eastAsia="en-GB"/>
        </w:rPr>
        <w:t>Dosage</w:t>
      </w:r>
      <w:r w:rsidR="00DD2861">
        <w:rPr>
          <w:rFonts w:ascii="Arial" w:hAnsi="Arial" w:cs="Arial"/>
          <w:b/>
          <w:sz w:val="24"/>
          <w:szCs w:val="24"/>
          <w:lang w:eastAsia="en-GB"/>
        </w:rPr>
        <w:t xml:space="preserve"> and administration</w:t>
      </w:r>
    </w:p>
    <w:p w:rsidR="001A7644" w:rsidRPr="002B58E5" w:rsidRDefault="001A7644" w:rsidP="002B58E5">
      <w:pPr>
        <w:pStyle w:val="ListParagraph"/>
        <w:numPr>
          <w:ilvl w:val="0"/>
          <w:numId w:val="12"/>
        </w:numPr>
        <w:rPr>
          <w:rFonts w:ascii="Arial" w:eastAsia="Times New Roman" w:hAnsi="Arial" w:cs="Arial"/>
          <w:bCs/>
        </w:rPr>
      </w:pPr>
      <w:r w:rsidRPr="002B58E5">
        <w:rPr>
          <w:rFonts w:ascii="Arial" w:eastAsia="Times New Roman" w:hAnsi="Arial" w:cs="Arial"/>
          <w:bCs/>
        </w:rPr>
        <w:t>Treatment of advanced prostate cancer as monotherapy, or in combination with radiotherapy, 150mg daily.</w:t>
      </w:r>
    </w:p>
    <w:p w:rsidR="001A7644" w:rsidRPr="002B58E5" w:rsidRDefault="001A7644" w:rsidP="002B58E5">
      <w:pPr>
        <w:pStyle w:val="ListParagraph"/>
        <w:numPr>
          <w:ilvl w:val="0"/>
          <w:numId w:val="12"/>
        </w:numPr>
        <w:rPr>
          <w:rFonts w:ascii="Arial" w:eastAsia="Times New Roman" w:hAnsi="Arial" w:cs="Arial"/>
          <w:bCs/>
        </w:rPr>
      </w:pPr>
      <w:r w:rsidRPr="002B58E5">
        <w:rPr>
          <w:rFonts w:ascii="Arial" w:eastAsia="Times New Roman" w:hAnsi="Arial" w:cs="Arial"/>
          <w:bCs/>
        </w:rPr>
        <w:t>Treatment of advanced prostate cancer as part of combined androgen blockade (with orchidectomy or LHRH agonist), 50mg daily.</w:t>
      </w:r>
    </w:p>
    <w:p w:rsidR="004B0232" w:rsidRDefault="004B0232" w:rsidP="00DD2861">
      <w:pPr>
        <w:spacing w:line="240" w:lineRule="auto"/>
        <w:rPr>
          <w:rFonts w:ascii="Arial" w:eastAsia="Times New Roman" w:hAnsi="Arial" w:cs="Arial"/>
          <w:bCs/>
        </w:rPr>
      </w:pPr>
    </w:p>
    <w:p w:rsidR="00DD2861" w:rsidRPr="00DD2861" w:rsidRDefault="00DD2861" w:rsidP="00DD2861">
      <w:pPr>
        <w:spacing w:line="240" w:lineRule="auto"/>
        <w:rPr>
          <w:rFonts w:ascii="Arial" w:eastAsia="Times New Roman" w:hAnsi="Arial" w:cs="Arial"/>
          <w:bCs/>
        </w:rPr>
      </w:pPr>
      <w:r w:rsidRPr="00DD2861">
        <w:rPr>
          <w:rFonts w:ascii="Arial" w:eastAsia="Times New Roman" w:hAnsi="Arial" w:cs="Arial"/>
          <w:bCs/>
        </w:rPr>
        <w:t>Bicalutamide is taken orally as a single daily dose.</w:t>
      </w:r>
    </w:p>
    <w:p w:rsidR="00DD2861" w:rsidRPr="002C1D38" w:rsidRDefault="00DD2861" w:rsidP="002C1D38">
      <w:pPr>
        <w:spacing w:line="240" w:lineRule="auto"/>
        <w:rPr>
          <w:rFonts w:ascii="Arial" w:eastAsia="Times New Roman" w:hAnsi="Arial" w:cs="Arial"/>
          <w:bCs/>
        </w:rPr>
      </w:pPr>
      <w:r w:rsidRPr="00DD2861">
        <w:rPr>
          <w:rFonts w:ascii="Arial" w:eastAsia="Times New Roman" w:hAnsi="Arial" w:cs="Arial"/>
          <w:bCs/>
        </w:rPr>
        <w:t>There is no requirement to adjust the dose in patients with renal impairment or mild hepatic impairment. Increased accumulation may occur in patients with moderate to severe hepatic impairment, and therefore should be used with caution in these patients.</w:t>
      </w:r>
      <w:r w:rsidR="004B0232">
        <w:rPr>
          <w:rFonts w:ascii="Arial" w:eastAsia="Times New Roman" w:hAnsi="Arial" w:cs="Arial"/>
          <w:bCs/>
        </w:rPr>
        <w:t xml:space="preserve"> </w:t>
      </w:r>
      <w:r w:rsidR="002B58E5" w:rsidRPr="002B58E5">
        <w:rPr>
          <w:rFonts w:ascii="Arial" w:eastAsia="Times New Roman" w:hAnsi="Arial" w:cs="Arial"/>
          <w:bCs/>
        </w:rPr>
        <w:t>All patients receiving bicalutamide will be under the ongoing care (minimum of 6 month review) of a Consultant Urologist or Clinical Oncologist.</w:t>
      </w:r>
    </w:p>
    <w:p w:rsidR="00830C5A" w:rsidRDefault="00830C5A" w:rsidP="00830C5A">
      <w:pPr>
        <w:pStyle w:val="Title"/>
        <w:jc w:val="left"/>
        <w:rPr>
          <w:color w:val="000000"/>
          <w:sz w:val="24"/>
        </w:rPr>
      </w:pPr>
      <w:r>
        <w:rPr>
          <w:color w:val="000000"/>
          <w:sz w:val="24"/>
        </w:rPr>
        <w:t>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798"/>
        <w:gridCol w:w="4252"/>
      </w:tblGrid>
      <w:tr w:rsidR="00107822" w:rsidRPr="00107822" w:rsidTr="002C1D38">
        <w:tc>
          <w:tcPr>
            <w:tcW w:w="2130" w:type="dxa"/>
            <w:shd w:val="clear" w:color="auto" w:fill="D9D9D9"/>
          </w:tcPr>
          <w:p w:rsidR="00107822" w:rsidRPr="00107822" w:rsidRDefault="00107822"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Test</w:t>
            </w:r>
          </w:p>
        </w:tc>
        <w:tc>
          <w:tcPr>
            <w:tcW w:w="2798" w:type="dxa"/>
            <w:shd w:val="clear" w:color="auto" w:fill="D9D9D9"/>
          </w:tcPr>
          <w:p w:rsidR="00107822" w:rsidRPr="00107822" w:rsidRDefault="00107822"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Specialist service</w:t>
            </w:r>
          </w:p>
        </w:tc>
        <w:tc>
          <w:tcPr>
            <w:tcW w:w="4252" w:type="dxa"/>
            <w:shd w:val="clear" w:color="auto" w:fill="D9D9D9"/>
          </w:tcPr>
          <w:p w:rsidR="00107822" w:rsidRPr="00107822" w:rsidRDefault="00107822"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Primary Care</w:t>
            </w:r>
          </w:p>
        </w:tc>
      </w:tr>
      <w:tr w:rsidR="002C1D38" w:rsidRPr="00107822" w:rsidTr="002C1D38">
        <w:tc>
          <w:tcPr>
            <w:tcW w:w="2130" w:type="dxa"/>
            <w:shd w:val="clear" w:color="auto" w:fill="auto"/>
          </w:tcPr>
          <w:p w:rsidR="002C1D38" w:rsidRPr="00107822" w:rsidRDefault="002C1D38"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LFTs</w:t>
            </w:r>
          </w:p>
          <w:p w:rsidR="002C1D38" w:rsidRPr="00107822" w:rsidRDefault="002C1D38" w:rsidP="00107822">
            <w:pPr>
              <w:spacing w:after="0" w:line="240" w:lineRule="auto"/>
              <w:rPr>
                <w:rFonts w:ascii="Arial" w:eastAsia="Times New Roman" w:hAnsi="Arial" w:cs="Arial"/>
                <w:sz w:val="24"/>
                <w:szCs w:val="24"/>
              </w:rPr>
            </w:pPr>
          </w:p>
        </w:tc>
        <w:tc>
          <w:tcPr>
            <w:tcW w:w="2798" w:type="dxa"/>
            <w:shd w:val="clear" w:color="auto" w:fill="auto"/>
          </w:tcPr>
          <w:p w:rsidR="002C1D38" w:rsidRPr="00107822" w:rsidRDefault="002C1D38"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 xml:space="preserve">Baseline </w:t>
            </w:r>
          </w:p>
          <w:p w:rsidR="002C1D38" w:rsidRPr="00107822" w:rsidRDefault="002C1D38"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Every 6 months</w:t>
            </w:r>
          </w:p>
        </w:tc>
        <w:tc>
          <w:tcPr>
            <w:tcW w:w="4252" w:type="dxa"/>
            <w:vMerge w:val="restart"/>
            <w:shd w:val="clear" w:color="auto" w:fill="auto"/>
          </w:tcPr>
          <w:p w:rsidR="002C1D38" w:rsidRPr="00107822" w:rsidRDefault="002C1D38"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Patients will be provided with blood forms by specialist service and attend the GP for the blood test 1 week prior to attending Outpatient appointment.</w:t>
            </w:r>
          </w:p>
          <w:p w:rsidR="002C1D38" w:rsidRPr="00107822" w:rsidRDefault="002C1D38"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Blood test results are interpreted by the specialist service.</w:t>
            </w:r>
          </w:p>
        </w:tc>
      </w:tr>
      <w:tr w:rsidR="002C1D38" w:rsidRPr="00107822" w:rsidTr="002C1D38">
        <w:tc>
          <w:tcPr>
            <w:tcW w:w="2130" w:type="dxa"/>
            <w:tcBorders>
              <w:bottom w:val="nil"/>
            </w:tcBorders>
            <w:shd w:val="clear" w:color="auto" w:fill="auto"/>
          </w:tcPr>
          <w:p w:rsidR="002C1D38" w:rsidRPr="00107822" w:rsidRDefault="002C1D38"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PSA</w:t>
            </w:r>
          </w:p>
        </w:tc>
        <w:tc>
          <w:tcPr>
            <w:tcW w:w="2798" w:type="dxa"/>
            <w:tcBorders>
              <w:bottom w:val="nil"/>
            </w:tcBorders>
            <w:shd w:val="clear" w:color="auto" w:fill="auto"/>
          </w:tcPr>
          <w:p w:rsidR="002C1D38" w:rsidRPr="00107822" w:rsidRDefault="002C1D38"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Baseline</w:t>
            </w:r>
          </w:p>
          <w:p w:rsidR="002C1D38" w:rsidRPr="00107822" w:rsidRDefault="002C1D38"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Variable as directed by specialist dependant on clinical condition</w:t>
            </w:r>
          </w:p>
        </w:tc>
        <w:tc>
          <w:tcPr>
            <w:tcW w:w="4252" w:type="dxa"/>
            <w:vMerge/>
            <w:shd w:val="clear" w:color="auto" w:fill="auto"/>
          </w:tcPr>
          <w:p w:rsidR="002C1D38" w:rsidRPr="00107822" w:rsidRDefault="002C1D38" w:rsidP="00107822">
            <w:pPr>
              <w:spacing w:after="0" w:line="240" w:lineRule="auto"/>
              <w:rPr>
                <w:rFonts w:ascii="Arial" w:eastAsia="Times New Roman" w:hAnsi="Arial" w:cs="Arial"/>
                <w:sz w:val="24"/>
                <w:szCs w:val="24"/>
              </w:rPr>
            </w:pPr>
          </w:p>
        </w:tc>
      </w:tr>
      <w:tr w:rsidR="00107822" w:rsidRPr="00107822" w:rsidTr="002C1D38">
        <w:tc>
          <w:tcPr>
            <w:tcW w:w="2130" w:type="dxa"/>
            <w:tcBorders>
              <w:top w:val="single" w:sz="4" w:space="0" w:color="auto"/>
            </w:tcBorders>
            <w:shd w:val="clear" w:color="auto" w:fill="auto"/>
          </w:tcPr>
          <w:p w:rsidR="00107822" w:rsidRPr="00107822" w:rsidRDefault="00107822"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Side effects</w:t>
            </w:r>
          </w:p>
        </w:tc>
        <w:tc>
          <w:tcPr>
            <w:tcW w:w="2798" w:type="dxa"/>
            <w:tcBorders>
              <w:top w:val="single" w:sz="4" w:space="0" w:color="auto"/>
            </w:tcBorders>
            <w:shd w:val="clear" w:color="auto" w:fill="auto"/>
          </w:tcPr>
          <w:p w:rsidR="00107822" w:rsidRPr="00107822" w:rsidRDefault="00107822" w:rsidP="00107822">
            <w:pPr>
              <w:spacing w:after="0" w:line="240" w:lineRule="auto"/>
              <w:rPr>
                <w:rFonts w:ascii="Arial" w:eastAsia="Times New Roman" w:hAnsi="Arial" w:cs="Arial"/>
                <w:sz w:val="24"/>
                <w:szCs w:val="24"/>
              </w:rPr>
            </w:pPr>
            <w:r w:rsidRPr="00107822">
              <w:rPr>
                <w:rFonts w:ascii="Arial" w:eastAsia="Times New Roman" w:hAnsi="Arial" w:cs="Arial"/>
                <w:sz w:val="24"/>
                <w:szCs w:val="24"/>
              </w:rPr>
              <w:t>Minimum of annually at medication review</w:t>
            </w:r>
          </w:p>
        </w:tc>
        <w:tc>
          <w:tcPr>
            <w:tcW w:w="4252" w:type="dxa"/>
            <w:shd w:val="clear" w:color="auto" w:fill="auto"/>
          </w:tcPr>
          <w:p w:rsidR="00107822" w:rsidRPr="00107822" w:rsidRDefault="002C1D38" w:rsidP="00107822">
            <w:pPr>
              <w:spacing w:after="0" w:line="240" w:lineRule="auto"/>
              <w:rPr>
                <w:rFonts w:ascii="Arial" w:eastAsia="Times New Roman" w:hAnsi="Arial" w:cs="Arial"/>
                <w:sz w:val="24"/>
                <w:szCs w:val="24"/>
              </w:rPr>
            </w:pPr>
            <w:r>
              <w:rPr>
                <w:rFonts w:ascii="Arial" w:eastAsia="Times New Roman" w:hAnsi="Arial" w:cs="Arial"/>
                <w:sz w:val="24"/>
                <w:szCs w:val="24"/>
              </w:rPr>
              <w:t xml:space="preserve">Annual medication review </w:t>
            </w:r>
          </w:p>
        </w:tc>
      </w:tr>
    </w:tbl>
    <w:p w:rsidR="00830C5A" w:rsidRDefault="00830C5A" w:rsidP="00830C5A">
      <w:pPr>
        <w:pStyle w:val="Title"/>
        <w:jc w:val="left"/>
        <w:rPr>
          <w:rFonts w:ascii="Calibri" w:hAnsi="Calibri"/>
          <w:b w:val="0"/>
          <w:color w:val="FF0000"/>
          <w:sz w:val="22"/>
          <w:szCs w:val="22"/>
        </w:rPr>
      </w:pPr>
    </w:p>
    <w:p w:rsidR="002C1D38" w:rsidRPr="00357498" w:rsidRDefault="002C1D38" w:rsidP="002C1D38">
      <w:pPr>
        <w:rPr>
          <w:rFonts w:ascii="Arial" w:hAnsi="Arial" w:cs="Arial"/>
          <w:b/>
          <w:sz w:val="24"/>
          <w:szCs w:val="24"/>
          <w:lang w:eastAsia="en-GB"/>
        </w:rPr>
      </w:pPr>
      <w:r w:rsidRPr="00357498">
        <w:rPr>
          <w:rFonts w:ascii="Arial" w:hAnsi="Arial" w:cs="Arial"/>
          <w:b/>
          <w:sz w:val="24"/>
          <w:szCs w:val="24"/>
          <w:lang w:eastAsia="en-GB"/>
        </w:rPr>
        <w:t>Contra-indications</w:t>
      </w:r>
    </w:p>
    <w:p w:rsidR="002C1D38" w:rsidRPr="002C1D38" w:rsidRDefault="002C1D38" w:rsidP="002C1D38">
      <w:pPr>
        <w:spacing w:line="240" w:lineRule="auto"/>
        <w:rPr>
          <w:rFonts w:ascii="Arial" w:eastAsia="Times New Roman" w:hAnsi="Arial" w:cs="Arial"/>
          <w:bCs/>
        </w:rPr>
      </w:pPr>
      <w:r w:rsidRPr="002C1D38">
        <w:rPr>
          <w:rFonts w:ascii="Arial" w:eastAsia="Times New Roman" w:hAnsi="Arial" w:cs="Arial"/>
          <w:bCs/>
        </w:rPr>
        <w:t xml:space="preserve">The details below are not a complete list and the BNF and the SPC remain authoritative </w:t>
      </w:r>
    </w:p>
    <w:p w:rsidR="002C1D38" w:rsidRPr="00590F3F" w:rsidRDefault="002C1D38" w:rsidP="002C1D38">
      <w:pPr>
        <w:spacing w:line="240" w:lineRule="auto"/>
        <w:rPr>
          <w:rFonts w:ascii="Arial" w:eastAsia="Times New Roman" w:hAnsi="Arial" w:cs="Arial"/>
          <w:bCs/>
        </w:rPr>
      </w:pPr>
      <w:r w:rsidRPr="00590F3F">
        <w:rPr>
          <w:rFonts w:ascii="Arial" w:eastAsia="Times New Roman" w:hAnsi="Arial" w:cs="Arial"/>
          <w:bCs/>
        </w:rPr>
        <w:t xml:space="preserve">Bicalutamide is contraindicated in females and children </w:t>
      </w:r>
    </w:p>
    <w:p w:rsidR="002C1D38" w:rsidRPr="00590F3F" w:rsidRDefault="002C1D38" w:rsidP="002C1D38">
      <w:pPr>
        <w:spacing w:line="240" w:lineRule="auto"/>
        <w:rPr>
          <w:rFonts w:ascii="Arial" w:eastAsia="Times New Roman" w:hAnsi="Arial" w:cs="Arial"/>
          <w:bCs/>
        </w:rPr>
      </w:pPr>
      <w:r w:rsidRPr="00590F3F">
        <w:rPr>
          <w:rFonts w:ascii="Arial" w:eastAsia="Times New Roman" w:hAnsi="Arial" w:cs="Arial"/>
          <w:bCs/>
        </w:rPr>
        <w:t xml:space="preserve">Bicalutamide must not be given to any patient who has shown a hypersensitivity reaction to the active substance or to any of the excipients </w:t>
      </w:r>
    </w:p>
    <w:p w:rsidR="004B0232" w:rsidRDefault="002C1D38" w:rsidP="004B0232">
      <w:pPr>
        <w:spacing w:line="240" w:lineRule="auto"/>
        <w:rPr>
          <w:rFonts w:ascii="Arial" w:eastAsia="Times New Roman" w:hAnsi="Arial" w:cs="Arial"/>
          <w:bCs/>
        </w:rPr>
      </w:pPr>
      <w:r w:rsidRPr="00590F3F">
        <w:rPr>
          <w:rFonts w:ascii="Arial" w:eastAsia="Times New Roman" w:hAnsi="Arial" w:cs="Arial"/>
          <w:bCs/>
        </w:rPr>
        <w:t>Co-administration of terfenadine, astemizole or cisapride with Bicalutamide is contraindicated</w:t>
      </w:r>
    </w:p>
    <w:p w:rsidR="002C1D38" w:rsidRPr="004B0232" w:rsidRDefault="002C1D38" w:rsidP="004B0232">
      <w:pPr>
        <w:spacing w:line="240" w:lineRule="auto"/>
        <w:rPr>
          <w:rFonts w:ascii="Arial" w:eastAsia="Times New Roman" w:hAnsi="Arial" w:cs="Arial"/>
          <w:bCs/>
        </w:rPr>
      </w:pPr>
      <w:r w:rsidRPr="00357498">
        <w:rPr>
          <w:rFonts w:ascii="Arial" w:hAnsi="Arial" w:cs="Arial"/>
          <w:b/>
          <w:sz w:val="24"/>
          <w:szCs w:val="24"/>
          <w:lang w:eastAsia="en-GB"/>
        </w:rPr>
        <w:lastRenderedPageBreak/>
        <w:t>Side –effects</w:t>
      </w:r>
    </w:p>
    <w:p w:rsidR="002C1D38" w:rsidRPr="002C1D38" w:rsidRDefault="002C1D38" w:rsidP="002C1D38">
      <w:pPr>
        <w:spacing w:line="240" w:lineRule="auto"/>
        <w:rPr>
          <w:rFonts w:ascii="Arial" w:eastAsia="Times New Roman" w:hAnsi="Arial" w:cs="Arial"/>
          <w:bCs/>
        </w:rPr>
      </w:pPr>
      <w:r w:rsidRPr="002C1D38">
        <w:rPr>
          <w:rFonts w:ascii="Arial" w:eastAsia="Times New Roman" w:hAnsi="Arial" w:cs="Arial"/>
          <w:bCs/>
        </w:rPr>
        <w:t>The details below are not a complete list and the BNF and the SPC remain authoritative</w:t>
      </w:r>
    </w:p>
    <w:p w:rsidR="002C1D38" w:rsidRPr="002C1D38" w:rsidRDefault="002C1D38" w:rsidP="002C1D38">
      <w:pPr>
        <w:spacing w:line="240" w:lineRule="auto"/>
        <w:rPr>
          <w:rFonts w:ascii="Arial" w:eastAsia="Times New Roman" w:hAnsi="Arial" w:cs="Arial"/>
          <w:bCs/>
        </w:rPr>
      </w:pPr>
      <w:r w:rsidRPr="002C1D38">
        <w:rPr>
          <w:rFonts w:ascii="Arial" w:eastAsia="Times New Roman" w:hAnsi="Arial" w:cs="Arial"/>
          <w:bCs/>
        </w:rPr>
        <w:t>Bicalutamide is generally well tolerated, with a side effect profile of common reactions similar to placebo in large studies.</w:t>
      </w:r>
    </w:p>
    <w:p w:rsidR="002C1D38" w:rsidRPr="002C1D38" w:rsidRDefault="002C1D38" w:rsidP="002C1D38">
      <w:pPr>
        <w:spacing w:line="240" w:lineRule="auto"/>
        <w:rPr>
          <w:rFonts w:ascii="Arial" w:eastAsia="Times New Roman" w:hAnsi="Arial" w:cs="Arial"/>
          <w:bCs/>
        </w:rPr>
      </w:pPr>
      <w:r w:rsidRPr="002C1D38">
        <w:rPr>
          <w:rFonts w:ascii="Arial" w:eastAsia="Times New Roman" w:hAnsi="Arial" w:cs="Arial"/>
          <w:bCs/>
        </w:rPr>
        <w:t xml:space="preserve">Bicalutamide is metabolised by the liver and should be used in caution in patients with significant hepatic dysfunction. Elevated levels of transaminases and jaundice may occur, usually in the first few months of use. For this reason, baseline and 6 monthly liver function testing is required during treatment in addition to PSA monitoring. </w:t>
      </w:r>
    </w:p>
    <w:p w:rsidR="00830C5A" w:rsidRPr="002C1D38" w:rsidRDefault="00673E72" w:rsidP="002C1D38">
      <w:pPr>
        <w:spacing w:line="240" w:lineRule="auto"/>
        <w:rPr>
          <w:rFonts w:ascii="Arial" w:eastAsia="Times New Roman" w:hAnsi="Arial" w:cs="Arial"/>
          <w:bCs/>
        </w:rPr>
      </w:pPr>
      <w:r>
        <w:rPr>
          <w:rFonts w:ascii="Arial" w:eastAsia="Times New Roman" w:hAnsi="Arial" w:cs="Arial"/>
          <w:bCs/>
        </w:rPr>
        <w:t xml:space="preserve">Expected anti </w:t>
      </w:r>
      <w:r w:rsidR="002C1D38" w:rsidRPr="002C1D38">
        <w:rPr>
          <w:rFonts w:ascii="Arial" w:eastAsia="Times New Roman" w:hAnsi="Arial" w:cs="Arial"/>
          <w:bCs/>
        </w:rPr>
        <w:t xml:space="preserve">antrogenic side effects include hot flushes, pruritis, decreased libido, breast tenderness and gynaecomastia. The latter is particularly common and may be ameliorated by the use of breast bud irradiation before starting bicalutamide treatment. </w:t>
      </w:r>
    </w:p>
    <w:p w:rsidR="00830C5A" w:rsidRPr="00DD2861" w:rsidRDefault="00830C5A" w:rsidP="00DD2861">
      <w:pPr>
        <w:rPr>
          <w:rFonts w:ascii="Arial" w:hAnsi="Arial" w:cs="Arial"/>
          <w:b/>
          <w:sz w:val="24"/>
          <w:szCs w:val="24"/>
          <w:lang w:eastAsia="en-GB"/>
        </w:rPr>
      </w:pPr>
      <w:r w:rsidRPr="002C1D38">
        <w:rPr>
          <w:rFonts w:ascii="Arial" w:hAnsi="Arial" w:cs="Arial"/>
          <w:b/>
          <w:sz w:val="24"/>
          <w:szCs w:val="24"/>
          <w:lang w:eastAsia="en-GB"/>
        </w:rPr>
        <w:t>Interactions</w:t>
      </w:r>
    </w:p>
    <w:p w:rsidR="00830C5A" w:rsidRDefault="00830C5A" w:rsidP="00830C5A">
      <w:pPr>
        <w:pStyle w:val="Title"/>
        <w:jc w:val="left"/>
        <w:rPr>
          <w:b w:val="0"/>
          <w:color w:val="000000"/>
          <w:sz w:val="22"/>
          <w:szCs w:val="22"/>
        </w:rPr>
      </w:pPr>
      <w:r>
        <w:rPr>
          <w:b w:val="0"/>
          <w:color w:val="000000"/>
          <w:sz w:val="22"/>
          <w:szCs w:val="22"/>
        </w:rPr>
        <w:t xml:space="preserve">The details below are not a complete list and the </w:t>
      </w:r>
      <w:r>
        <w:rPr>
          <w:b w:val="0"/>
          <w:color w:val="008000"/>
          <w:sz w:val="22"/>
          <w:szCs w:val="22"/>
        </w:rPr>
        <w:t>current</w:t>
      </w:r>
      <w:r>
        <w:rPr>
          <w:b w:val="0"/>
          <w:color w:val="000000"/>
          <w:sz w:val="22"/>
          <w:szCs w:val="22"/>
        </w:rPr>
        <w:t xml:space="preserve"> BNF and the SPC remain authoritative.</w:t>
      </w:r>
    </w:p>
    <w:p w:rsidR="00673E72" w:rsidRDefault="00673E72" w:rsidP="00830C5A">
      <w:pPr>
        <w:pStyle w:val="Title"/>
        <w:jc w:val="left"/>
        <w:rPr>
          <w:b w:val="0"/>
          <w:color w:val="000000"/>
          <w:sz w:val="22"/>
          <w:szCs w:val="22"/>
        </w:rPr>
      </w:pPr>
    </w:p>
    <w:p w:rsidR="005C2308" w:rsidRPr="005C2308" w:rsidRDefault="005C2308" w:rsidP="005C2308">
      <w:pPr>
        <w:pStyle w:val="Title"/>
        <w:jc w:val="left"/>
        <w:rPr>
          <w:b w:val="0"/>
          <w:sz w:val="22"/>
          <w:szCs w:val="22"/>
        </w:rPr>
      </w:pPr>
      <w:r w:rsidRPr="005C2308">
        <w:rPr>
          <w:b w:val="0"/>
          <w:sz w:val="22"/>
          <w:szCs w:val="22"/>
        </w:rPr>
        <w:t>Bicalutamide may potentiate the effect of warfarin. Close monitoring of the INR should be undertaken.</w:t>
      </w:r>
    </w:p>
    <w:p w:rsidR="005C2308" w:rsidRPr="005C2308" w:rsidRDefault="005C2308" w:rsidP="005C2308">
      <w:pPr>
        <w:pStyle w:val="Title"/>
        <w:jc w:val="left"/>
        <w:rPr>
          <w:b w:val="0"/>
          <w:sz w:val="22"/>
          <w:szCs w:val="22"/>
        </w:rPr>
      </w:pPr>
      <w:r w:rsidRPr="005C2308">
        <w:rPr>
          <w:b w:val="0"/>
          <w:sz w:val="22"/>
          <w:szCs w:val="22"/>
        </w:rPr>
        <w:t>Co-administration with terfenadine, astemizole or cisapride is contra-indicated. (NB Terfenadine and cisapride are no longer available in the UK but may be available outside of the UK).</w:t>
      </w:r>
    </w:p>
    <w:p w:rsidR="005C2308" w:rsidRPr="005C2308" w:rsidRDefault="005C2308" w:rsidP="005C2308">
      <w:pPr>
        <w:pStyle w:val="Title"/>
        <w:jc w:val="left"/>
        <w:rPr>
          <w:b w:val="0"/>
          <w:sz w:val="22"/>
          <w:szCs w:val="22"/>
        </w:rPr>
      </w:pPr>
      <w:r w:rsidRPr="005C2308">
        <w:rPr>
          <w:b w:val="0"/>
          <w:sz w:val="22"/>
          <w:szCs w:val="22"/>
        </w:rPr>
        <w:t>Bicalutamide inhibits enzymes of the cytochrome p450 system, therefore caution is advised when co-administering enzyme inhibitors such as cimetidine and ketoconazole.</w:t>
      </w:r>
    </w:p>
    <w:p w:rsidR="005C2308" w:rsidRPr="005C2308" w:rsidRDefault="005C2308" w:rsidP="005C2308">
      <w:pPr>
        <w:pStyle w:val="Title"/>
        <w:rPr>
          <w:b w:val="0"/>
          <w:color w:val="FF0000"/>
          <w:sz w:val="22"/>
          <w:szCs w:val="22"/>
        </w:rPr>
      </w:pPr>
    </w:p>
    <w:p w:rsidR="00830C5A" w:rsidRPr="00B27624" w:rsidRDefault="005C2308" w:rsidP="005C2308">
      <w:pPr>
        <w:pStyle w:val="Title"/>
        <w:jc w:val="left"/>
        <w:rPr>
          <w:b w:val="0"/>
          <w:sz w:val="22"/>
          <w:szCs w:val="22"/>
        </w:rPr>
      </w:pPr>
      <w:r w:rsidRPr="00B27624">
        <w:rPr>
          <w:b w:val="0"/>
          <w:sz w:val="22"/>
          <w:szCs w:val="22"/>
        </w:rPr>
        <w:t>Caution is also advised when co-administering bicalutamide with drugs metabolised predominantly by CYP 3A4. (ciclosporin, calcium channel blockers – these drugs may need dosage reductions and plasma ciclosporin levels should be monitored)</w:t>
      </w:r>
    </w:p>
    <w:p w:rsidR="00830C5A" w:rsidRDefault="00830C5A" w:rsidP="00830C5A">
      <w:pPr>
        <w:pStyle w:val="Title"/>
        <w:jc w:val="left"/>
        <w:rPr>
          <w:b w:val="0"/>
          <w:color w:val="000000"/>
          <w:sz w:val="24"/>
        </w:rPr>
      </w:pPr>
    </w:p>
    <w:p w:rsidR="00B27624" w:rsidRDefault="00282A94" w:rsidP="00830C5A">
      <w:pPr>
        <w:pStyle w:val="Title"/>
        <w:jc w:val="left"/>
        <w:rPr>
          <w:color w:val="000000"/>
          <w:sz w:val="24"/>
        </w:rPr>
      </w:pPr>
      <w:r w:rsidRPr="00133C4C">
        <w:rPr>
          <w:color w:val="000000"/>
          <w:sz w:val="24"/>
        </w:rPr>
        <w:t>Contacts for</w:t>
      </w:r>
      <w:r>
        <w:rPr>
          <w:color w:val="000000"/>
          <w:sz w:val="24"/>
        </w:rPr>
        <w:t xml:space="preserve"> </w:t>
      </w:r>
      <w:r w:rsidR="00830C5A">
        <w:rPr>
          <w:color w:val="000000"/>
          <w:sz w:val="24"/>
        </w:rPr>
        <w:t>Support, education and information</w:t>
      </w:r>
    </w:p>
    <w:p w:rsidR="00B27624" w:rsidRPr="005C6733" w:rsidRDefault="00B27624" w:rsidP="00B27624">
      <w:pPr>
        <w:pStyle w:val="Title"/>
        <w:jc w:val="left"/>
        <w:rPr>
          <w:b w:val="0"/>
          <w:color w:val="000000"/>
          <w:sz w:val="24"/>
        </w:rPr>
      </w:pPr>
      <w:r w:rsidRPr="005C6733">
        <w:rPr>
          <w:b w:val="0"/>
          <w:color w:val="000000"/>
          <w:sz w:val="24"/>
        </w:rPr>
        <w:t xml:space="preserve">Office Hours –Specialist   Tel: </w:t>
      </w:r>
      <w:r w:rsidR="00E97363">
        <w:rPr>
          <w:b w:val="0"/>
          <w:sz w:val="22"/>
          <w:szCs w:val="22"/>
        </w:rPr>
        <w:t xml:space="preserve">Urology Appointments </w:t>
      </w:r>
      <w:r w:rsidRPr="005C6733">
        <w:rPr>
          <w:b w:val="0"/>
          <w:sz w:val="22"/>
          <w:szCs w:val="22"/>
        </w:rPr>
        <w:t>01302 642535</w:t>
      </w:r>
    </w:p>
    <w:p w:rsidR="00DE4802" w:rsidRPr="005C6733" w:rsidRDefault="00B27624" w:rsidP="00B27624">
      <w:pPr>
        <w:pStyle w:val="Title"/>
        <w:jc w:val="left"/>
        <w:rPr>
          <w:b w:val="0"/>
          <w:sz w:val="22"/>
          <w:szCs w:val="22"/>
        </w:rPr>
      </w:pPr>
      <w:r w:rsidRPr="005C6733">
        <w:rPr>
          <w:b w:val="0"/>
          <w:color w:val="000000"/>
          <w:sz w:val="24"/>
        </w:rPr>
        <w:t xml:space="preserve">Out of hours – On-call      Tel: </w:t>
      </w:r>
      <w:r w:rsidRPr="005C6733">
        <w:rPr>
          <w:b w:val="0"/>
          <w:sz w:val="22"/>
          <w:szCs w:val="22"/>
        </w:rPr>
        <w:t>Oncology Nurse Answer</w:t>
      </w:r>
      <w:r w:rsidR="002C1D38" w:rsidRPr="005C6733">
        <w:rPr>
          <w:b w:val="0"/>
          <w:sz w:val="22"/>
          <w:szCs w:val="22"/>
        </w:rPr>
        <w:t xml:space="preserve"> </w:t>
      </w:r>
      <w:r w:rsidRPr="005C6733">
        <w:rPr>
          <w:b w:val="0"/>
          <w:sz w:val="22"/>
          <w:szCs w:val="22"/>
        </w:rPr>
        <w:t>machine 01302 644667</w:t>
      </w:r>
    </w:p>
    <w:p w:rsidR="00830C5A" w:rsidRDefault="00830C5A" w:rsidP="00830C5A">
      <w:pPr>
        <w:pStyle w:val="Title"/>
        <w:jc w:val="left"/>
        <w:rPr>
          <w:b w:val="0"/>
          <w:color w:val="000000"/>
          <w:sz w:val="24"/>
        </w:rPr>
      </w:pPr>
    </w:p>
    <w:p w:rsidR="00B27624" w:rsidRPr="004B0232" w:rsidRDefault="00830C5A" w:rsidP="00830C5A">
      <w:pPr>
        <w:pStyle w:val="Title"/>
        <w:jc w:val="left"/>
        <w:rPr>
          <w:color w:val="000000"/>
          <w:sz w:val="18"/>
          <w:szCs w:val="18"/>
        </w:rPr>
      </w:pPr>
      <w:r w:rsidRPr="004B0232">
        <w:rPr>
          <w:color w:val="000000"/>
          <w:sz w:val="18"/>
          <w:szCs w:val="18"/>
        </w:rPr>
        <w:t>References</w:t>
      </w:r>
    </w:p>
    <w:p w:rsidR="00B27624" w:rsidRPr="004B0232" w:rsidRDefault="00B27624" w:rsidP="00B27624">
      <w:pPr>
        <w:pStyle w:val="Title"/>
        <w:jc w:val="left"/>
        <w:rPr>
          <w:b w:val="0"/>
          <w:color w:val="000000"/>
          <w:sz w:val="18"/>
          <w:szCs w:val="18"/>
        </w:rPr>
      </w:pPr>
      <w:r w:rsidRPr="004B0232">
        <w:rPr>
          <w:color w:val="000000"/>
          <w:sz w:val="18"/>
          <w:szCs w:val="18"/>
        </w:rPr>
        <w:t xml:space="preserve">NICE CG175 </w:t>
      </w:r>
      <w:r w:rsidRPr="004B0232">
        <w:rPr>
          <w:b w:val="0"/>
          <w:color w:val="000000"/>
          <w:sz w:val="18"/>
          <w:szCs w:val="18"/>
        </w:rPr>
        <w:t>The diagnosis and management of prostate cancer January 2014</w:t>
      </w:r>
    </w:p>
    <w:p w:rsidR="00B27624" w:rsidRPr="004B0232" w:rsidRDefault="00673E72" w:rsidP="00B27624">
      <w:pPr>
        <w:pStyle w:val="Title"/>
        <w:jc w:val="left"/>
        <w:rPr>
          <w:b w:val="0"/>
          <w:color w:val="000000"/>
          <w:sz w:val="18"/>
          <w:szCs w:val="18"/>
        </w:rPr>
      </w:pPr>
      <w:r w:rsidRPr="004B0232">
        <w:rPr>
          <w:b w:val="0"/>
          <w:color w:val="000000"/>
          <w:sz w:val="18"/>
          <w:szCs w:val="18"/>
        </w:rPr>
        <w:t>BNF 76</w:t>
      </w:r>
      <w:r w:rsidR="00B27624" w:rsidRPr="004B0232">
        <w:rPr>
          <w:b w:val="0"/>
          <w:color w:val="000000"/>
          <w:sz w:val="18"/>
          <w:szCs w:val="18"/>
        </w:rPr>
        <w:t xml:space="preserve">  September 2018</w:t>
      </w:r>
    </w:p>
    <w:p w:rsidR="00B27624" w:rsidRPr="004B0232" w:rsidRDefault="00B27624" w:rsidP="00B27624">
      <w:pPr>
        <w:pStyle w:val="Title"/>
        <w:jc w:val="left"/>
        <w:rPr>
          <w:color w:val="000000"/>
          <w:sz w:val="18"/>
          <w:szCs w:val="18"/>
        </w:rPr>
      </w:pPr>
      <w:r w:rsidRPr="004B0232">
        <w:rPr>
          <w:color w:val="000000"/>
          <w:sz w:val="18"/>
          <w:szCs w:val="18"/>
        </w:rPr>
        <w:t xml:space="preserve">Casodex 50mg </w:t>
      </w:r>
      <w:r w:rsidRPr="004B0232">
        <w:rPr>
          <w:b w:val="0"/>
          <w:color w:val="000000"/>
          <w:sz w:val="18"/>
          <w:szCs w:val="18"/>
        </w:rPr>
        <w:t>Summary of Product Characteristics – revised 20.3.2018</w:t>
      </w:r>
    </w:p>
    <w:p w:rsidR="00B27624" w:rsidRPr="004B0232" w:rsidRDefault="00B27624" w:rsidP="00B27624">
      <w:pPr>
        <w:pStyle w:val="Title"/>
        <w:jc w:val="left"/>
        <w:rPr>
          <w:color w:val="000000"/>
          <w:sz w:val="18"/>
          <w:szCs w:val="18"/>
        </w:rPr>
      </w:pPr>
      <w:r w:rsidRPr="004B0232">
        <w:rPr>
          <w:color w:val="000000"/>
          <w:sz w:val="18"/>
          <w:szCs w:val="18"/>
        </w:rPr>
        <w:t xml:space="preserve">Casodex 150mg </w:t>
      </w:r>
      <w:r w:rsidRPr="004B0232">
        <w:rPr>
          <w:b w:val="0"/>
          <w:color w:val="000000"/>
          <w:sz w:val="18"/>
          <w:szCs w:val="18"/>
        </w:rPr>
        <w:t>Summary of Product Characteristics – revised 20.2.2018</w:t>
      </w:r>
    </w:p>
    <w:p w:rsidR="005C6733" w:rsidRDefault="00830C5A" w:rsidP="005C6733">
      <w:pPr>
        <w:rPr>
          <w:rFonts w:cs="Arial"/>
          <w:lang w:eastAsia="en-GB"/>
        </w:rPr>
      </w:pPr>
      <w:r w:rsidRPr="005C6733">
        <w:rPr>
          <w:rFonts w:ascii="Arial" w:eastAsia="Times New Roman" w:hAnsi="Arial" w:cs="Arial"/>
          <w:bCs/>
          <w:color w:val="000000"/>
          <w:sz w:val="20"/>
          <w:szCs w:val="20"/>
        </w:rPr>
        <w:t xml:space="preserve">Full list of side-effects is given in the </w:t>
      </w:r>
      <w:r w:rsidR="00B27624" w:rsidRPr="005C6733">
        <w:rPr>
          <w:rFonts w:ascii="Arial" w:eastAsia="Times New Roman" w:hAnsi="Arial" w:cs="Arial"/>
          <w:bCs/>
          <w:color w:val="000000"/>
          <w:sz w:val="20"/>
          <w:szCs w:val="20"/>
        </w:rPr>
        <w:t>Bicalutamide</w:t>
      </w:r>
      <w:r w:rsidRPr="005C6733">
        <w:rPr>
          <w:rFonts w:ascii="Arial" w:eastAsia="Times New Roman" w:hAnsi="Arial" w:cs="Arial"/>
          <w:bCs/>
          <w:color w:val="000000"/>
          <w:sz w:val="20"/>
          <w:szCs w:val="20"/>
        </w:rPr>
        <w:t xml:space="preserve"> summary of product characteristics (SPC),</w:t>
      </w:r>
      <w:r>
        <w:rPr>
          <w:rFonts w:cs="Arial"/>
          <w:lang w:eastAsia="en-GB"/>
        </w:rPr>
        <w:t xml:space="preserve"> available from </w:t>
      </w:r>
      <w:hyperlink r:id="rId11" w:history="1">
        <w:r>
          <w:rPr>
            <w:rStyle w:val="Hyperlink"/>
            <w:rFonts w:cs="Arial"/>
            <w:lang w:eastAsia="en-GB"/>
          </w:rPr>
          <w:t>www.emc.medicines.org.uk</w:t>
        </w:r>
      </w:hyperlink>
      <w:r>
        <w:rPr>
          <w:rFonts w:cs="Arial"/>
          <w:lang w:eastAsia="en-GB"/>
        </w:rPr>
        <w:t xml:space="preserve"> .</w:t>
      </w:r>
    </w:p>
    <w:p w:rsidR="004B0232" w:rsidRDefault="002328C2" w:rsidP="004B0232">
      <w:pPr>
        <w:rPr>
          <w:rStyle w:val="Hyperlink"/>
        </w:rPr>
      </w:pPr>
      <w:hyperlink r:id="rId12" w:history="1">
        <w:r w:rsidR="00702E12" w:rsidRPr="00DD2861">
          <w:rPr>
            <w:rStyle w:val="Hyperlink"/>
          </w:rPr>
          <w:t>https://www.england.nhs.uk/wp-content/uploads/2018/03/responsibility-prescribing-between-primary-secondary-care-v2.pdf</w:t>
        </w:r>
      </w:hyperlink>
    </w:p>
    <w:p w:rsidR="007D284B" w:rsidRPr="004B0232" w:rsidRDefault="00A369AF" w:rsidP="004B0232">
      <w:pPr>
        <w:rPr>
          <w:rFonts w:ascii="Arial" w:hAnsi="Arial" w:cs="Arial"/>
          <w:lang w:eastAsia="en-GB"/>
        </w:rPr>
      </w:pPr>
      <w:r w:rsidRPr="004B0232">
        <w:rPr>
          <w:rFonts w:ascii="Arial" w:hAnsi="Arial" w:cs="Arial"/>
        </w:rPr>
        <w:t>It will be presumed by the referring specialist that the primary care team is operating under this shared care guideline.  Should the primary care prescriber feel unable to act under this shared care guideline they should discuss with the specialist requesting the care in the first instance.  If after</w:t>
      </w:r>
      <w:r w:rsidR="004B0232" w:rsidRPr="004B0232">
        <w:rPr>
          <w:rFonts w:ascii="Arial" w:hAnsi="Arial" w:cs="Arial"/>
        </w:rPr>
        <w:t xml:space="preserve"> </w:t>
      </w:r>
      <w:r w:rsidRPr="004B0232">
        <w:rPr>
          <w:rFonts w:ascii="Arial" w:hAnsi="Arial" w:cs="Arial"/>
        </w:rPr>
        <w:t xml:space="preserve">discussion they still feel unable to prescribe then the primary care clinician must notify the specialist in writing.   </w:t>
      </w:r>
    </w:p>
    <w:p w:rsidR="00830C5A" w:rsidRPr="004B0232" w:rsidRDefault="00A62936" w:rsidP="00830C5A">
      <w:pPr>
        <w:pStyle w:val="Title"/>
        <w:spacing w:after="120"/>
        <w:jc w:val="left"/>
        <w:rPr>
          <w:color w:val="000000"/>
          <w:sz w:val="20"/>
          <w:szCs w:val="20"/>
        </w:rPr>
      </w:pPr>
      <w:r w:rsidRPr="004B0232">
        <w:rPr>
          <w:color w:val="000000"/>
          <w:sz w:val="20"/>
          <w:szCs w:val="20"/>
        </w:rPr>
        <w:lastRenderedPageBreak/>
        <w:t>Shared care for the prescribing of Bicalutamide</w:t>
      </w:r>
    </w:p>
    <w:p w:rsidR="00830C5A" w:rsidRPr="004B0232" w:rsidRDefault="006802BC" w:rsidP="00830C5A">
      <w:pPr>
        <w:outlineLvl w:val="0"/>
        <w:rPr>
          <w:rFonts w:ascii="Arial" w:hAnsi="Arial" w:cs="Arial"/>
          <w:sz w:val="20"/>
          <w:szCs w:val="20"/>
          <w:lang w:eastAsia="ko-KR"/>
        </w:rPr>
      </w:pPr>
      <w:r w:rsidRPr="004B0232">
        <w:rPr>
          <w:rFonts w:ascii="Arial" w:hAnsi="Arial" w:cs="Arial"/>
          <w:b/>
          <w:sz w:val="20"/>
          <w:szCs w:val="20"/>
        </w:rPr>
        <w:t>Dear Prescriber</w:t>
      </w:r>
      <w:r w:rsidR="00E63D95" w:rsidRPr="004B0232">
        <w:rPr>
          <w:rFonts w:ascii="Arial" w:hAnsi="Arial" w:cs="Arial"/>
          <w:sz w:val="20"/>
          <w:szCs w:val="20"/>
        </w:rPr>
        <w:t>……………………………………………………………….…</w:t>
      </w:r>
      <w:r w:rsidR="00A62936" w:rsidRPr="004B0232">
        <w:rPr>
          <w:rFonts w:ascii="Arial" w:hAnsi="Arial" w:cs="Arial"/>
          <w:sz w:val="20"/>
          <w:szCs w:val="20"/>
        </w:rPr>
        <w:t xml:space="preserve"> </w:t>
      </w:r>
      <w:r w:rsidR="00E63D95" w:rsidRPr="004B0232">
        <w:rPr>
          <w:rFonts w:ascii="Arial" w:hAnsi="Arial" w:cs="Arial"/>
          <w:sz w:val="20"/>
          <w:szCs w:val="20"/>
        </w:rPr>
        <w:t>(Patient’ s GP )</w:t>
      </w:r>
    </w:p>
    <w:p w:rsidR="00830C5A" w:rsidRPr="004B0232" w:rsidRDefault="00A62936" w:rsidP="00830C5A">
      <w:pPr>
        <w:rPr>
          <w:rFonts w:ascii="Arial" w:hAnsi="Arial" w:cs="Arial"/>
          <w:b/>
          <w:sz w:val="20"/>
          <w:szCs w:val="20"/>
        </w:rPr>
      </w:pPr>
      <w:r w:rsidRPr="004B0232">
        <w:rPr>
          <w:rFonts w:ascii="Arial" w:hAnsi="Arial" w:cs="Arial"/>
          <w:b/>
          <w:sz w:val="20"/>
          <w:szCs w:val="20"/>
        </w:rPr>
        <w:t xml:space="preserve">Patients </w:t>
      </w:r>
      <w:r w:rsidR="00E63D95" w:rsidRPr="004B0232">
        <w:rPr>
          <w:rFonts w:ascii="Arial" w:hAnsi="Arial" w:cs="Arial"/>
          <w:b/>
          <w:sz w:val="20"/>
          <w:szCs w:val="20"/>
        </w:rPr>
        <w:t xml:space="preserve">Name: </w:t>
      </w:r>
      <w:r w:rsidR="00830C5A" w:rsidRPr="004B0232">
        <w:rPr>
          <w:rFonts w:ascii="Arial" w:hAnsi="Arial" w:cs="Arial"/>
          <w:b/>
          <w:sz w:val="20"/>
          <w:szCs w:val="20"/>
        </w:rPr>
        <w:t xml:space="preserve"> ……………………</w:t>
      </w:r>
      <w:r w:rsidR="00E63D95" w:rsidRPr="004B0232">
        <w:rPr>
          <w:rFonts w:ascii="Arial" w:hAnsi="Arial" w:cs="Arial"/>
          <w:b/>
          <w:sz w:val="20"/>
          <w:szCs w:val="20"/>
        </w:rPr>
        <w:t>……………..</w:t>
      </w:r>
      <w:r w:rsidR="00830C5A" w:rsidRPr="004B0232">
        <w:rPr>
          <w:rFonts w:ascii="Arial" w:hAnsi="Arial" w:cs="Arial"/>
          <w:b/>
          <w:sz w:val="20"/>
          <w:szCs w:val="20"/>
        </w:rPr>
        <w:t xml:space="preserve"> DOB: …………</w:t>
      </w:r>
      <w:r w:rsidR="00E63D95" w:rsidRPr="004B0232">
        <w:rPr>
          <w:rFonts w:ascii="Arial" w:hAnsi="Arial" w:cs="Arial"/>
          <w:b/>
          <w:sz w:val="20"/>
          <w:szCs w:val="20"/>
        </w:rPr>
        <w:t>…..</w:t>
      </w:r>
      <w:r w:rsidR="00830C5A" w:rsidRPr="004B0232">
        <w:rPr>
          <w:rFonts w:ascii="Arial" w:hAnsi="Arial" w:cs="Arial"/>
          <w:b/>
          <w:sz w:val="20"/>
          <w:szCs w:val="20"/>
        </w:rPr>
        <w:t xml:space="preserve">       NHS No. ………………</w:t>
      </w:r>
      <w:r w:rsidR="004B0232">
        <w:rPr>
          <w:rFonts w:ascii="Arial" w:hAnsi="Arial" w:cs="Arial"/>
          <w:b/>
          <w:sz w:val="20"/>
          <w:szCs w:val="20"/>
        </w:rPr>
        <w:t>…</w:t>
      </w:r>
    </w:p>
    <w:p w:rsidR="00830C5A" w:rsidRPr="004B0232" w:rsidRDefault="00830C5A" w:rsidP="00E63D95">
      <w:pPr>
        <w:rPr>
          <w:rFonts w:ascii="Arial" w:hAnsi="Arial" w:cs="Arial"/>
          <w:b/>
          <w:sz w:val="20"/>
          <w:szCs w:val="20"/>
        </w:rPr>
      </w:pPr>
      <w:r w:rsidRPr="004B0232">
        <w:rPr>
          <w:rFonts w:ascii="Arial" w:hAnsi="Arial" w:cs="Arial"/>
          <w:b/>
          <w:sz w:val="20"/>
          <w:szCs w:val="20"/>
        </w:rPr>
        <w:t>Address: ………………</w:t>
      </w:r>
      <w:r w:rsidR="00E63D95" w:rsidRPr="004B0232">
        <w:rPr>
          <w:rFonts w:ascii="Arial" w:hAnsi="Arial" w:cs="Arial"/>
          <w:b/>
          <w:sz w:val="20"/>
          <w:szCs w:val="20"/>
        </w:rPr>
        <w:t>……………………………</w:t>
      </w:r>
      <w:r w:rsidR="004B0232">
        <w:rPr>
          <w:rFonts w:ascii="Arial" w:hAnsi="Arial" w:cs="Arial"/>
          <w:b/>
          <w:sz w:val="20"/>
          <w:szCs w:val="20"/>
        </w:rPr>
        <w:t>………………………………………………………………………</w:t>
      </w:r>
    </w:p>
    <w:p w:rsidR="00E63D95" w:rsidRPr="004B0232" w:rsidRDefault="00830C5A" w:rsidP="007D284B">
      <w:pPr>
        <w:spacing w:after="0"/>
        <w:outlineLvl w:val="0"/>
        <w:rPr>
          <w:rFonts w:ascii="Arial" w:hAnsi="Arial" w:cs="Arial"/>
          <w:b/>
          <w:sz w:val="20"/>
          <w:szCs w:val="20"/>
        </w:rPr>
      </w:pPr>
      <w:r w:rsidRPr="004B0232">
        <w:rPr>
          <w:rFonts w:ascii="Arial" w:hAnsi="Arial" w:cs="Arial"/>
          <w:sz w:val="20"/>
          <w:szCs w:val="20"/>
        </w:rPr>
        <w:t>Your patient is b</w:t>
      </w:r>
      <w:r w:rsidR="00B065F2" w:rsidRPr="004B0232">
        <w:rPr>
          <w:rFonts w:ascii="Arial" w:hAnsi="Arial" w:cs="Arial"/>
          <w:sz w:val="20"/>
          <w:szCs w:val="20"/>
        </w:rPr>
        <w:t xml:space="preserve">eing started on treatment with </w:t>
      </w:r>
      <w:r w:rsidR="00171E77" w:rsidRPr="004B0232">
        <w:rPr>
          <w:rFonts w:ascii="Arial" w:hAnsi="Arial" w:cs="Arial"/>
          <w:b/>
          <w:sz w:val="20"/>
          <w:szCs w:val="20"/>
        </w:rPr>
        <w:t xml:space="preserve">Bicalutamide </w:t>
      </w:r>
      <w:r w:rsidR="00E63D95" w:rsidRPr="004B0232">
        <w:rPr>
          <w:rFonts w:ascii="Arial" w:hAnsi="Arial" w:cs="Arial"/>
          <w:b/>
          <w:sz w:val="20"/>
          <w:szCs w:val="20"/>
        </w:rPr>
        <w:t xml:space="preserve">   </w:t>
      </w:r>
    </w:p>
    <w:p w:rsidR="00830C5A" w:rsidRPr="004B0232" w:rsidRDefault="00E63D95" w:rsidP="00830C5A">
      <w:pPr>
        <w:outlineLvl w:val="0"/>
        <w:rPr>
          <w:rFonts w:ascii="Arial" w:hAnsi="Arial" w:cs="Arial"/>
          <w:b/>
          <w:sz w:val="20"/>
          <w:szCs w:val="20"/>
        </w:rPr>
      </w:pPr>
      <w:r w:rsidRPr="004B0232">
        <w:rPr>
          <w:rFonts w:ascii="Arial" w:hAnsi="Arial" w:cs="Arial"/>
          <w:b/>
          <w:sz w:val="20"/>
          <w:szCs w:val="20"/>
        </w:rPr>
        <w:t xml:space="preserve">dose………………..              route……………………….     Date initiated by  specialist…………………………. </w:t>
      </w:r>
    </w:p>
    <w:p w:rsidR="00E63D95" w:rsidRPr="004B0232" w:rsidRDefault="00E63D95" w:rsidP="00830C5A">
      <w:pPr>
        <w:outlineLvl w:val="0"/>
        <w:rPr>
          <w:rFonts w:ascii="Arial" w:hAnsi="Arial" w:cs="Arial"/>
          <w:sz w:val="20"/>
          <w:szCs w:val="20"/>
        </w:rPr>
      </w:pPr>
      <w:r w:rsidRPr="004B0232">
        <w:rPr>
          <w:rFonts w:ascii="Arial" w:hAnsi="Arial" w:cs="Arial"/>
          <w:b/>
          <w:sz w:val="20"/>
          <w:szCs w:val="20"/>
        </w:rPr>
        <w:t>date when dose is stabilised (usually after a period of 3 months ) ………………………………………….</w:t>
      </w:r>
    </w:p>
    <w:p w:rsidR="00830C5A" w:rsidRPr="004B0232" w:rsidRDefault="00830C5A" w:rsidP="00830C5A">
      <w:pPr>
        <w:rPr>
          <w:rFonts w:ascii="Arial" w:hAnsi="Arial" w:cs="Arial"/>
          <w:sz w:val="20"/>
          <w:szCs w:val="20"/>
        </w:rPr>
      </w:pPr>
      <w:r w:rsidRPr="004B0232">
        <w:rPr>
          <w:rFonts w:ascii="Arial" w:hAnsi="Arial" w:cs="Arial"/>
          <w:sz w:val="20"/>
          <w:szCs w:val="20"/>
        </w:rPr>
        <w:t xml:space="preserve">This treatment can be prescribed by </w:t>
      </w:r>
      <w:r w:rsidR="006802BC" w:rsidRPr="004B0232">
        <w:rPr>
          <w:rFonts w:ascii="Arial" w:hAnsi="Arial" w:cs="Arial"/>
          <w:sz w:val="20"/>
          <w:szCs w:val="20"/>
        </w:rPr>
        <w:t>primary care prescribers</w:t>
      </w:r>
      <w:r w:rsidRPr="004B0232">
        <w:rPr>
          <w:rFonts w:ascii="Arial" w:hAnsi="Arial" w:cs="Arial"/>
          <w:sz w:val="20"/>
          <w:szCs w:val="20"/>
        </w:rPr>
        <w:t xml:space="preserve"> under the Traffic Light System under the “shared care” arrangements. This shared care </w:t>
      </w:r>
      <w:r w:rsidR="00182A40" w:rsidRPr="004B0232">
        <w:rPr>
          <w:rFonts w:ascii="Arial" w:hAnsi="Arial" w:cs="Arial"/>
          <w:sz w:val="20"/>
          <w:szCs w:val="20"/>
        </w:rPr>
        <w:t>guideline</w:t>
      </w:r>
      <w:r w:rsidR="004812E0" w:rsidRPr="004B0232">
        <w:rPr>
          <w:rFonts w:ascii="Arial" w:hAnsi="Arial" w:cs="Arial"/>
          <w:sz w:val="20"/>
          <w:szCs w:val="20"/>
        </w:rPr>
        <w:t xml:space="preserve"> </w:t>
      </w:r>
      <w:r w:rsidRPr="004B0232">
        <w:rPr>
          <w:rFonts w:ascii="Arial" w:hAnsi="Arial" w:cs="Arial"/>
          <w:sz w:val="20"/>
          <w:szCs w:val="20"/>
        </w:rPr>
        <w:t xml:space="preserve">has been approved by the </w:t>
      </w:r>
      <w:r w:rsidR="00171E77" w:rsidRPr="004B0232">
        <w:rPr>
          <w:rFonts w:ascii="Arial" w:hAnsi="Arial" w:cs="Arial"/>
          <w:sz w:val="20"/>
          <w:szCs w:val="20"/>
        </w:rPr>
        <w:t xml:space="preserve">Doncaster </w:t>
      </w:r>
      <w:r w:rsidR="00A34972" w:rsidRPr="004B0232">
        <w:rPr>
          <w:rFonts w:ascii="Arial" w:hAnsi="Arial" w:cs="Arial"/>
          <w:sz w:val="20"/>
          <w:szCs w:val="20"/>
        </w:rPr>
        <w:t>and Bassetlaw</w:t>
      </w:r>
      <w:r w:rsidR="00171E77" w:rsidRPr="004B0232">
        <w:rPr>
          <w:rFonts w:ascii="Arial" w:hAnsi="Arial" w:cs="Arial"/>
          <w:sz w:val="20"/>
          <w:szCs w:val="20"/>
        </w:rPr>
        <w:t xml:space="preserve"> </w:t>
      </w:r>
      <w:r w:rsidRPr="004B0232">
        <w:rPr>
          <w:rFonts w:ascii="Arial" w:hAnsi="Arial" w:cs="Arial"/>
          <w:sz w:val="20"/>
          <w:szCs w:val="20"/>
        </w:rPr>
        <w:t>Area Prescribing Group</w:t>
      </w:r>
      <w:r w:rsidR="00A34972" w:rsidRPr="004B0232">
        <w:rPr>
          <w:rFonts w:ascii="Arial" w:hAnsi="Arial" w:cs="Arial"/>
          <w:sz w:val="20"/>
          <w:szCs w:val="20"/>
        </w:rPr>
        <w:t>s</w:t>
      </w:r>
      <w:r w:rsidRPr="004B0232">
        <w:rPr>
          <w:rFonts w:ascii="Arial" w:hAnsi="Arial" w:cs="Arial"/>
          <w:sz w:val="20"/>
          <w:szCs w:val="20"/>
        </w:rPr>
        <w:t xml:space="preserve">. </w:t>
      </w:r>
    </w:p>
    <w:p w:rsidR="00830C5A" w:rsidRPr="004B0232" w:rsidRDefault="00830C5A" w:rsidP="00830C5A">
      <w:pPr>
        <w:outlineLvl w:val="0"/>
        <w:rPr>
          <w:rFonts w:ascii="Arial" w:hAnsi="Arial" w:cs="Arial"/>
          <w:b/>
          <w:sz w:val="20"/>
          <w:szCs w:val="20"/>
        </w:rPr>
      </w:pPr>
      <w:r w:rsidRPr="004B0232">
        <w:rPr>
          <w:rFonts w:ascii="Arial" w:hAnsi="Arial" w:cs="Arial"/>
          <w:sz w:val="20"/>
          <w:szCs w:val="20"/>
        </w:rPr>
        <w:t xml:space="preserve">We have chosen to use </w:t>
      </w:r>
      <w:r w:rsidR="00171E77" w:rsidRPr="004B0232">
        <w:rPr>
          <w:rFonts w:ascii="Arial" w:hAnsi="Arial" w:cs="Arial"/>
          <w:b/>
          <w:sz w:val="20"/>
          <w:szCs w:val="20"/>
        </w:rPr>
        <w:t>Bicalutamide</w:t>
      </w:r>
      <w:r w:rsidR="00B065F2" w:rsidRPr="004B0232">
        <w:rPr>
          <w:rFonts w:ascii="Arial" w:hAnsi="Arial" w:cs="Arial"/>
          <w:b/>
          <w:sz w:val="20"/>
          <w:szCs w:val="20"/>
        </w:rPr>
        <w:t xml:space="preserve"> </w:t>
      </w:r>
      <w:r w:rsidR="00E63D95" w:rsidRPr="004B0232">
        <w:rPr>
          <w:rFonts w:ascii="Arial" w:hAnsi="Arial" w:cs="Arial"/>
          <w:sz w:val="20"/>
          <w:szCs w:val="20"/>
        </w:rPr>
        <w:t>for the treatment of</w:t>
      </w:r>
      <w:r w:rsidR="007D284B" w:rsidRPr="004B0232">
        <w:rPr>
          <w:rFonts w:ascii="Arial" w:hAnsi="Arial" w:cs="Arial"/>
          <w:sz w:val="20"/>
          <w:szCs w:val="20"/>
        </w:rPr>
        <w:t xml:space="preserve"> prostate cancer.</w:t>
      </w:r>
    </w:p>
    <w:p w:rsidR="00171E77" w:rsidRPr="004B0232" w:rsidRDefault="00830C5A" w:rsidP="00830C5A">
      <w:pPr>
        <w:outlineLvl w:val="0"/>
        <w:rPr>
          <w:rFonts w:ascii="Arial" w:hAnsi="Arial" w:cs="Arial"/>
          <w:sz w:val="20"/>
          <w:szCs w:val="20"/>
        </w:rPr>
      </w:pPr>
      <w:r w:rsidRPr="004B0232">
        <w:rPr>
          <w:rFonts w:ascii="Arial" w:hAnsi="Arial" w:cs="Arial"/>
          <w:sz w:val="20"/>
          <w:szCs w:val="20"/>
        </w:rPr>
        <w:t xml:space="preserve">As part of shared care arrangements please can you </w:t>
      </w:r>
      <w:r w:rsidR="00171E77" w:rsidRPr="004B0232">
        <w:rPr>
          <w:rFonts w:ascii="Arial" w:hAnsi="Arial" w:cs="Arial"/>
          <w:sz w:val="20"/>
          <w:szCs w:val="20"/>
        </w:rPr>
        <w:t>take a blood test prior to the patien</w:t>
      </w:r>
      <w:r w:rsidR="00E63D95" w:rsidRPr="004B0232">
        <w:rPr>
          <w:rFonts w:ascii="Arial" w:hAnsi="Arial" w:cs="Arial"/>
          <w:sz w:val="20"/>
          <w:szCs w:val="20"/>
        </w:rPr>
        <w:t xml:space="preserve">t’s Secondary care appointment </w:t>
      </w:r>
      <w:r w:rsidR="007D284B" w:rsidRPr="004B0232">
        <w:rPr>
          <w:rFonts w:ascii="Arial" w:hAnsi="Arial" w:cs="Arial"/>
          <w:sz w:val="20"/>
          <w:szCs w:val="20"/>
        </w:rPr>
        <w:t xml:space="preserve">and </w:t>
      </w:r>
      <w:r w:rsidR="00171E77" w:rsidRPr="004B0232">
        <w:rPr>
          <w:rFonts w:ascii="Arial" w:hAnsi="Arial" w:cs="Arial"/>
          <w:sz w:val="20"/>
          <w:szCs w:val="20"/>
        </w:rPr>
        <w:t>the results will be reviewed along with</w:t>
      </w:r>
      <w:r w:rsidRPr="004B0232">
        <w:rPr>
          <w:rFonts w:ascii="Arial" w:hAnsi="Arial" w:cs="Arial"/>
          <w:sz w:val="20"/>
          <w:szCs w:val="20"/>
        </w:rPr>
        <w:t xml:space="preserve"> </w:t>
      </w:r>
      <w:r w:rsidR="00171E77" w:rsidRPr="004B0232">
        <w:rPr>
          <w:rFonts w:ascii="Arial" w:hAnsi="Arial" w:cs="Arial"/>
          <w:sz w:val="20"/>
          <w:szCs w:val="20"/>
        </w:rPr>
        <w:t xml:space="preserve">the patient’s </w:t>
      </w:r>
      <w:r w:rsidRPr="004B0232">
        <w:rPr>
          <w:rFonts w:ascii="Arial" w:hAnsi="Arial" w:cs="Arial"/>
          <w:sz w:val="20"/>
          <w:szCs w:val="20"/>
        </w:rPr>
        <w:t>adherence, response an</w:t>
      </w:r>
      <w:r w:rsidR="00171E77" w:rsidRPr="004B0232">
        <w:rPr>
          <w:rFonts w:ascii="Arial" w:hAnsi="Arial" w:cs="Arial"/>
          <w:sz w:val="20"/>
          <w:szCs w:val="20"/>
        </w:rPr>
        <w:t xml:space="preserve">d side effects to therapy.  A blood form will be provided at the Secondary care appointment for the following test. </w:t>
      </w:r>
    </w:p>
    <w:p w:rsidR="00A34972" w:rsidRPr="004B0232" w:rsidRDefault="00830C5A" w:rsidP="00A34972">
      <w:pPr>
        <w:outlineLvl w:val="0"/>
        <w:rPr>
          <w:rFonts w:ascii="Arial" w:hAnsi="Arial" w:cs="Arial"/>
          <w:sz w:val="20"/>
          <w:szCs w:val="20"/>
        </w:rPr>
      </w:pPr>
      <w:r w:rsidRPr="004B0232">
        <w:rPr>
          <w:rFonts w:ascii="Arial" w:hAnsi="Arial" w:cs="Arial"/>
          <w:sz w:val="20"/>
          <w:szCs w:val="20"/>
        </w:rPr>
        <w:t>Will you also please undertake to prescribe for your patient?</w:t>
      </w:r>
      <w:r w:rsidR="004B0232">
        <w:rPr>
          <w:rFonts w:ascii="Arial" w:hAnsi="Arial" w:cs="Arial"/>
          <w:sz w:val="20"/>
          <w:szCs w:val="20"/>
        </w:rPr>
        <w:t xml:space="preserve"> </w:t>
      </w:r>
      <w:r w:rsidR="00A34972" w:rsidRPr="004B0232">
        <w:rPr>
          <w:rFonts w:ascii="Arial" w:hAnsi="Arial" w:cs="Arial"/>
          <w:sz w:val="20"/>
          <w:szCs w:val="20"/>
        </w:rPr>
        <w:t>The prescrib</w:t>
      </w:r>
      <w:r w:rsidR="00B065F2" w:rsidRPr="004B0232">
        <w:rPr>
          <w:rFonts w:ascii="Arial" w:hAnsi="Arial" w:cs="Arial"/>
          <w:sz w:val="20"/>
          <w:szCs w:val="20"/>
        </w:rPr>
        <w:t>er</w:t>
      </w:r>
      <w:r w:rsidR="00A34972" w:rsidRPr="004B0232">
        <w:rPr>
          <w:rFonts w:ascii="Arial" w:hAnsi="Arial" w:cs="Arial"/>
          <w:sz w:val="20"/>
          <w:szCs w:val="20"/>
        </w:rPr>
        <w:t xml:space="preserve"> will be responsible for ensuring monitoring of the patient on the medication being prescribed as per this guideline.</w:t>
      </w:r>
    </w:p>
    <w:p w:rsidR="00830C5A" w:rsidRPr="004B0232" w:rsidRDefault="00830C5A" w:rsidP="007D284B">
      <w:pPr>
        <w:spacing w:after="0"/>
        <w:outlineLvl w:val="0"/>
        <w:rPr>
          <w:rFonts w:ascii="Arial" w:hAnsi="Arial" w:cs="Arial"/>
          <w:b/>
          <w:i/>
          <w:sz w:val="20"/>
          <w:szCs w:val="20"/>
        </w:rPr>
      </w:pPr>
      <w:r w:rsidRPr="004B0232">
        <w:rPr>
          <w:rFonts w:ascii="Arial" w:hAnsi="Arial" w:cs="Arial"/>
          <w:b/>
          <w:i/>
          <w:sz w:val="20"/>
          <w:szCs w:val="20"/>
        </w:rPr>
        <w:t xml:space="preserve">Please acknowledge you are happy to take on shared care by completing and returning the slip below to above address or by </w:t>
      </w:r>
      <w:r w:rsidR="00B065F2" w:rsidRPr="004B0232">
        <w:rPr>
          <w:rFonts w:ascii="Arial" w:hAnsi="Arial" w:cs="Arial"/>
          <w:b/>
          <w:i/>
          <w:sz w:val="20"/>
          <w:szCs w:val="20"/>
        </w:rPr>
        <w:t>secure email</w:t>
      </w:r>
      <w:r w:rsidRPr="004B0232">
        <w:rPr>
          <w:rFonts w:ascii="Arial" w:hAnsi="Arial" w:cs="Arial"/>
          <w:b/>
          <w:i/>
          <w:sz w:val="20"/>
          <w:szCs w:val="20"/>
        </w:rPr>
        <w:t xml:space="preserve"> to </w:t>
      </w:r>
      <w:r w:rsidR="00171E77" w:rsidRPr="004B0232">
        <w:rPr>
          <w:rFonts w:ascii="Arial" w:hAnsi="Arial" w:cs="Arial"/>
          <w:b/>
          <w:i/>
          <w:sz w:val="20"/>
          <w:szCs w:val="20"/>
        </w:rPr>
        <w:t xml:space="preserve">the specialist named on this letter. </w:t>
      </w:r>
    </w:p>
    <w:p w:rsidR="00830C5A" w:rsidRPr="004B0232" w:rsidRDefault="00830C5A" w:rsidP="00830C5A">
      <w:pPr>
        <w:outlineLvl w:val="0"/>
        <w:rPr>
          <w:rFonts w:ascii="Arial" w:hAnsi="Arial" w:cs="Arial"/>
          <w:sz w:val="20"/>
          <w:szCs w:val="20"/>
        </w:rPr>
      </w:pPr>
      <w:r w:rsidRPr="004B0232">
        <w:rPr>
          <w:rFonts w:ascii="Arial" w:hAnsi="Arial" w:cs="Arial"/>
          <w:sz w:val="20"/>
          <w:szCs w:val="20"/>
        </w:rPr>
        <w:t>Do not hesitate to contact us if you have any concerns.</w:t>
      </w:r>
    </w:p>
    <w:p w:rsidR="00A62936" w:rsidRPr="004B0232" w:rsidRDefault="00A62936" w:rsidP="00A62936">
      <w:pPr>
        <w:spacing w:after="0" w:line="240" w:lineRule="auto"/>
        <w:outlineLvl w:val="0"/>
        <w:rPr>
          <w:rFonts w:ascii="Arial" w:hAnsi="Arial" w:cs="Arial"/>
          <w:b/>
          <w:sz w:val="20"/>
          <w:szCs w:val="20"/>
        </w:rPr>
      </w:pPr>
      <w:r w:rsidRPr="004B0232">
        <w:rPr>
          <w:rFonts w:ascii="Arial" w:hAnsi="Arial" w:cs="Arial"/>
          <w:b/>
          <w:sz w:val="20"/>
          <w:szCs w:val="20"/>
        </w:rPr>
        <w:t>Contacts for Support, education and information</w:t>
      </w:r>
    </w:p>
    <w:p w:rsidR="00A62936" w:rsidRPr="004B0232" w:rsidRDefault="00A62936" w:rsidP="00A62936">
      <w:pPr>
        <w:spacing w:after="0" w:line="240" w:lineRule="auto"/>
        <w:outlineLvl w:val="0"/>
        <w:rPr>
          <w:rFonts w:ascii="Arial" w:hAnsi="Arial" w:cs="Arial"/>
          <w:sz w:val="20"/>
          <w:szCs w:val="20"/>
        </w:rPr>
      </w:pPr>
      <w:r w:rsidRPr="004B0232">
        <w:rPr>
          <w:rFonts w:ascii="Arial" w:hAnsi="Arial" w:cs="Arial"/>
          <w:sz w:val="20"/>
          <w:szCs w:val="20"/>
        </w:rPr>
        <w:t>Office Hours –Speciali</w:t>
      </w:r>
      <w:r w:rsidR="00582659" w:rsidRPr="004B0232">
        <w:rPr>
          <w:rFonts w:ascii="Arial" w:hAnsi="Arial" w:cs="Arial"/>
          <w:sz w:val="20"/>
          <w:szCs w:val="20"/>
        </w:rPr>
        <w:t xml:space="preserve">st   Tel: Urology Appointments </w:t>
      </w:r>
      <w:r w:rsidRPr="004B0232">
        <w:rPr>
          <w:rFonts w:ascii="Arial" w:hAnsi="Arial" w:cs="Arial"/>
          <w:sz w:val="20"/>
          <w:szCs w:val="20"/>
        </w:rPr>
        <w:t>01302 642535</w:t>
      </w:r>
    </w:p>
    <w:p w:rsidR="00A62936" w:rsidRPr="004B0232" w:rsidRDefault="00A62936" w:rsidP="00A62936">
      <w:pPr>
        <w:spacing w:after="0" w:line="240" w:lineRule="auto"/>
        <w:outlineLvl w:val="0"/>
        <w:rPr>
          <w:rFonts w:ascii="Arial" w:hAnsi="Arial" w:cs="Arial"/>
          <w:sz w:val="20"/>
          <w:szCs w:val="20"/>
        </w:rPr>
      </w:pPr>
      <w:r w:rsidRPr="004B0232">
        <w:rPr>
          <w:rFonts w:ascii="Arial" w:hAnsi="Arial" w:cs="Arial"/>
          <w:sz w:val="20"/>
          <w:szCs w:val="20"/>
        </w:rPr>
        <w:t>Out of hours – On-call      Tel: Oncology Nurse Answer machine 01302 644667</w:t>
      </w:r>
    </w:p>
    <w:p w:rsidR="006802BC" w:rsidRPr="004B0232" w:rsidRDefault="00830C5A" w:rsidP="00830C5A">
      <w:pPr>
        <w:outlineLvl w:val="0"/>
        <w:rPr>
          <w:rFonts w:ascii="Arial" w:hAnsi="Arial" w:cs="Arial"/>
          <w:sz w:val="20"/>
          <w:szCs w:val="20"/>
        </w:rPr>
      </w:pPr>
      <w:r w:rsidRPr="004B0232">
        <w:rPr>
          <w:rFonts w:ascii="Arial" w:hAnsi="Arial" w:cs="Arial"/>
          <w:sz w:val="20"/>
          <w:szCs w:val="20"/>
        </w:rPr>
        <w:t>Yours sincerely</w:t>
      </w:r>
    </w:p>
    <w:p w:rsidR="00830C5A" w:rsidRPr="004B0232" w:rsidRDefault="00830C5A" w:rsidP="00830C5A">
      <w:pPr>
        <w:outlineLvl w:val="0"/>
        <w:rPr>
          <w:rFonts w:ascii="Arial" w:hAnsi="Arial" w:cs="Arial"/>
          <w:b/>
          <w:sz w:val="20"/>
          <w:szCs w:val="20"/>
        </w:rPr>
      </w:pPr>
      <w:r w:rsidRPr="004B0232">
        <w:rPr>
          <w:rFonts w:ascii="Arial" w:hAnsi="Arial" w:cs="Arial"/>
          <w:b/>
          <w:sz w:val="20"/>
          <w:szCs w:val="20"/>
        </w:rPr>
        <w:t>Clinician’s Name</w:t>
      </w:r>
      <w:r w:rsidR="001408BE" w:rsidRPr="004B0232">
        <w:rPr>
          <w:rFonts w:ascii="Arial" w:hAnsi="Arial" w:cs="Arial"/>
          <w:b/>
          <w:sz w:val="20"/>
          <w:szCs w:val="20"/>
        </w:rPr>
        <w:t>……………………………………………</w:t>
      </w:r>
    </w:p>
    <w:p w:rsidR="00830C5A" w:rsidRPr="004B0232" w:rsidRDefault="00830C5A" w:rsidP="00830C5A">
      <w:pPr>
        <w:pBdr>
          <w:bottom w:val="single" w:sz="12" w:space="1" w:color="auto"/>
        </w:pBdr>
        <w:outlineLvl w:val="0"/>
        <w:rPr>
          <w:rFonts w:ascii="Arial" w:hAnsi="Arial" w:cs="Arial"/>
          <w:b/>
          <w:sz w:val="20"/>
          <w:szCs w:val="20"/>
        </w:rPr>
      </w:pPr>
      <w:r w:rsidRPr="004B0232">
        <w:rPr>
          <w:rFonts w:ascii="Arial" w:hAnsi="Arial" w:cs="Arial"/>
          <w:b/>
          <w:sz w:val="20"/>
          <w:szCs w:val="20"/>
        </w:rPr>
        <w:t xml:space="preserve">Clinician’s Title </w:t>
      </w:r>
      <w:r w:rsidR="001408BE" w:rsidRPr="004B0232">
        <w:rPr>
          <w:rFonts w:ascii="Arial" w:hAnsi="Arial" w:cs="Arial"/>
          <w:b/>
          <w:sz w:val="20"/>
          <w:szCs w:val="20"/>
        </w:rPr>
        <w:t>………………………………………………</w:t>
      </w:r>
      <w:r w:rsidR="00A62936" w:rsidRPr="004B0232">
        <w:rPr>
          <w:rFonts w:ascii="Arial" w:hAnsi="Arial" w:cs="Arial"/>
          <w:b/>
          <w:sz w:val="20"/>
          <w:szCs w:val="20"/>
        </w:rPr>
        <w:t xml:space="preserve">  Hospital / Dept …………………………………………………….</w:t>
      </w:r>
    </w:p>
    <w:p w:rsidR="00A62936" w:rsidRPr="004B0232" w:rsidRDefault="00A62936" w:rsidP="00830C5A">
      <w:pPr>
        <w:pBdr>
          <w:bottom w:val="single" w:sz="12" w:space="1" w:color="auto"/>
        </w:pBdr>
        <w:outlineLvl w:val="0"/>
        <w:rPr>
          <w:rFonts w:ascii="Arial" w:hAnsi="Arial" w:cs="Arial"/>
          <w:b/>
          <w:sz w:val="20"/>
          <w:szCs w:val="20"/>
        </w:rPr>
      </w:pPr>
      <w:r w:rsidRPr="004B0232">
        <w:rPr>
          <w:rFonts w:ascii="Arial" w:hAnsi="Arial" w:cs="Arial"/>
          <w:b/>
          <w:sz w:val="20"/>
          <w:szCs w:val="20"/>
        </w:rPr>
        <w:t>Please complete and return to specialist – tick a box to indicate agreement / disagreement</w:t>
      </w:r>
    </w:p>
    <w:p w:rsidR="00830C5A" w:rsidRPr="004B0232" w:rsidRDefault="006802BC" w:rsidP="00830C5A">
      <w:pPr>
        <w:ind w:firstLine="720"/>
        <w:rPr>
          <w:rFonts w:ascii="Arial" w:hAnsi="Arial" w:cs="Arial"/>
          <w:sz w:val="20"/>
          <w:szCs w:val="20"/>
        </w:rPr>
      </w:pPr>
      <w:r w:rsidRPr="004B0232">
        <w:rPr>
          <w:rFonts w:ascii="Arial" w:hAnsi="Arial" w:cs="Arial"/>
          <w:noProof/>
          <w:sz w:val="20"/>
          <w:szCs w:val="20"/>
          <w:lang w:eastAsia="en-GB"/>
        </w:rPr>
        <w:drawing>
          <wp:inline distT="0" distB="0" distL="0" distR="0" wp14:anchorId="5A8167F0" wp14:editId="317D52A8">
            <wp:extent cx="219075" cy="209550"/>
            <wp:effectExtent l="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830C5A" w:rsidRPr="004B0232">
        <w:rPr>
          <w:rFonts w:ascii="Arial" w:hAnsi="Arial" w:cs="Arial"/>
          <w:sz w:val="20"/>
          <w:szCs w:val="20"/>
        </w:rPr>
        <w:t xml:space="preserve"> I AGREE to take on shared care of this patient</w:t>
      </w:r>
    </w:p>
    <w:p w:rsidR="006802BC" w:rsidRPr="004B0232" w:rsidRDefault="006802BC" w:rsidP="00A62936">
      <w:pPr>
        <w:ind w:firstLine="720"/>
        <w:rPr>
          <w:rFonts w:ascii="Arial" w:hAnsi="Arial" w:cs="Arial"/>
          <w:sz w:val="20"/>
          <w:szCs w:val="20"/>
        </w:rPr>
      </w:pPr>
      <w:r w:rsidRPr="004B0232">
        <w:rPr>
          <w:rFonts w:ascii="Arial" w:hAnsi="Arial" w:cs="Arial"/>
          <w:noProof/>
          <w:sz w:val="20"/>
          <w:szCs w:val="20"/>
          <w:lang w:eastAsia="en-GB"/>
        </w:rPr>
        <w:drawing>
          <wp:inline distT="0" distB="0" distL="0" distR="0" wp14:anchorId="2FD8C329" wp14:editId="29C3C45A">
            <wp:extent cx="219075" cy="209550"/>
            <wp:effectExtent l="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830C5A" w:rsidRPr="004B0232">
        <w:rPr>
          <w:rFonts w:ascii="Arial" w:hAnsi="Arial" w:cs="Arial"/>
          <w:sz w:val="20"/>
          <w:szCs w:val="20"/>
        </w:rPr>
        <w:t xml:space="preserve">I DO NOT AGREE to take on shared care of this patient </w:t>
      </w:r>
    </w:p>
    <w:p w:rsidR="004B0232" w:rsidRDefault="00830C5A" w:rsidP="00830C5A">
      <w:pPr>
        <w:rPr>
          <w:rFonts w:ascii="Arial" w:hAnsi="Arial" w:cs="Arial"/>
          <w:sz w:val="20"/>
          <w:szCs w:val="20"/>
        </w:rPr>
      </w:pPr>
      <w:r w:rsidRPr="004B0232">
        <w:rPr>
          <w:rFonts w:ascii="Arial" w:hAnsi="Arial" w:cs="Arial"/>
          <w:sz w:val="20"/>
          <w:szCs w:val="20"/>
        </w:rPr>
        <w:t>Signed</w:t>
      </w:r>
      <w:r w:rsidR="00A62936" w:rsidRPr="004B0232">
        <w:rPr>
          <w:rFonts w:ascii="Arial" w:hAnsi="Arial" w:cs="Arial"/>
          <w:sz w:val="20"/>
          <w:szCs w:val="20"/>
        </w:rPr>
        <w:t xml:space="preserve"> by GP</w:t>
      </w:r>
      <w:r w:rsidRPr="004B0232">
        <w:rPr>
          <w:rFonts w:ascii="Arial" w:hAnsi="Arial" w:cs="Arial"/>
          <w:sz w:val="20"/>
          <w:szCs w:val="20"/>
        </w:rPr>
        <w:t xml:space="preserve"> ……………………………………………</w:t>
      </w:r>
      <w:r w:rsidR="00A62936" w:rsidRPr="004B0232">
        <w:rPr>
          <w:rFonts w:ascii="Arial" w:hAnsi="Arial" w:cs="Arial"/>
          <w:sz w:val="20"/>
          <w:szCs w:val="20"/>
        </w:rPr>
        <w:t>…….</w:t>
      </w:r>
      <w:r w:rsidRPr="004B0232">
        <w:rPr>
          <w:rFonts w:ascii="Arial" w:hAnsi="Arial" w:cs="Arial"/>
          <w:sz w:val="20"/>
          <w:szCs w:val="20"/>
        </w:rPr>
        <w:t xml:space="preserve">    </w:t>
      </w:r>
    </w:p>
    <w:p w:rsidR="00830C5A" w:rsidRPr="004B0232" w:rsidRDefault="001408BE" w:rsidP="00830C5A">
      <w:pPr>
        <w:rPr>
          <w:rFonts w:ascii="Arial" w:hAnsi="Arial" w:cs="Arial"/>
          <w:sz w:val="20"/>
          <w:szCs w:val="20"/>
        </w:rPr>
      </w:pPr>
      <w:r w:rsidRPr="004B0232">
        <w:rPr>
          <w:rFonts w:ascii="Arial" w:hAnsi="Arial" w:cs="Arial"/>
          <w:sz w:val="20"/>
          <w:szCs w:val="20"/>
        </w:rPr>
        <w:t>Print name …………………………………………………………….</w:t>
      </w:r>
    </w:p>
    <w:p w:rsidR="00B6076F" w:rsidRPr="004B0232" w:rsidRDefault="00830C5A">
      <w:pPr>
        <w:rPr>
          <w:rFonts w:ascii="Arial" w:hAnsi="Arial" w:cs="Arial"/>
          <w:sz w:val="20"/>
          <w:szCs w:val="20"/>
        </w:rPr>
      </w:pPr>
      <w:r w:rsidRPr="004B0232">
        <w:rPr>
          <w:rFonts w:ascii="Arial" w:hAnsi="Arial" w:cs="Arial"/>
          <w:sz w:val="20"/>
          <w:szCs w:val="20"/>
        </w:rPr>
        <w:t>Practice………………………</w:t>
      </w:r>
      <w:r w:rsidR="00A62936" w:rsidRPr="004B0232">
        <w:rPr>
          <w:rFonts w:ascii="Arial" w:hAnsi="Arial" w:cs="Arial"/>
          <w:sz w:val="20"/>
          <w:szCs w:val="20"/>
        </w:rPr>
        <w:t>……………………………………………………</w:t>
      </w:r>
      <w:r w:rsidR="004B0232">
        <w:rPr>
          <w:rFonts w:ascii="Arial" w:hAnsi="Arial" w:cs="Arial"/>
          <w:sz w:val="20"/>
          <w:szCs w:val="20"/>
        </w:rPr>
        <w:t>Date…………………………</w:t>
      </w:r>
    </w:p>
    <w:sectPr w:rsidR="00B6076F" w:rsidRPr="004B02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D5" w:rsidRDefault="006D62D5" w:rsidP="00891340">
      <w:pPr>
        <w:spacing w:after="0" w:line="240" w:lineRule="auto"/>
      </w:pPr>
      <w:r>
        <w:separator/>
      </w:r>
    </w:p>
  </w:endnote>
  <w:endnote w:type="continuationSeparator" w:id="0">
    <w:p w:rsidR="006D62D5" w:rsidRDefault="006D62D5" w:rsidP="0089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D5" w:rsidRDefault="006D62D5" w:rsidP="00891340">
      <w:pPr>
        <w:spacing w:after="0" w:line="240" w:lineRule="auto"/>
      </w:pPr>
      <w:r>
        <w:separator/>
      </w:r>
    </w:p>
  </w:footnote>
  <w:footnote w:type="continuationSeparator" w:id="0">
    <w:p w:rsidR="006D62D5" w:rsidRDefault="006D62D5" w:rsidP="00891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7F" w:rsidRPr="00B96A0D" w:rsidRDefault="004B0232" w:rsidP="00FC3D7F">
    <w:pPr>
      <w:tabs>
        <w:tab w:val="center" w:pos="4513"/>
        <w:tab w:val="right" w:pos="9026"/>
      </w:tabs>
    </w:pPr>
    <w:r>
      <w:t>V1.0</w:t>
    </w:r>
  </w:p>
  <w:p w:rsidR="00673E72" w:rsidRDefault="00673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CC"/>
    <w:multiLevelType w:val="hybridMultilevel"/>
    <w:tmpl w:val="ED02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D1963"/>
    <w:multiLevelType w:val="hybridMultilevel"/>
    <w:tmpl w:val="3D88F1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AB3AC0"/>
    <w:multiLevelType w:val="hybridMultilevel"/>
    <w:tmpl w:val="200E33EC"/>
    <w:lvl w:ilvl="0" w:tplc="32288806">
      <w:numFmt w:val="bullet"/>
      <w:lvlText w:val="-"/>
      <w:lvlJc w:val="left"/>
      <w:pPr>
        <w:tabs>
          <w:tab w:val="num" w:pos="786"/>
        </w:tabs>
        <w:ind w:left="786" w:hanging="360"/>
      </w:pPr>
      <w:rPr>
        <w:rFonts w:ascii="Arial" w:eastAsia="Times New Roman" w:hAnsi="Arial" w:cs="Arial" w:hint="default"/>
      </w:rPr>
    </w:lvl>
    <w:lvl w:ilvl="1" w:tplc="08090003">
      <w:start w:val="1"/>
      <w:numFmt w:val="bullet"/>
      <w:lvlText w:val="o"/>
      <w:lvlJc w:val="left"/>
      <w:pPr>
        <w:tabs>
          <w:tab w:val="num" w:pos="-862"/>
        </w:tabs>
        <w:ind w:left="-862" w:hanging="360"/>
      </w:pPr>
      <w:rPr>
        <w:rFonts w:ascii="Courier New" w:hAnsi="Courier New" w:cs="Courier New" w:hint="default"/>
      </w:rPr>
    </w:lvl>
    <w:lvl w:ilvl="2" w:tplc="08090005">
      <w:start w:val="1"/>
      <w:numFmt w:val="bullet"/>
      <w:lvlText w:val=""/>
      <w:lvlJc w:val="left"/>
      <w:pPr>
        <w:tabs>
          <w:tab w:val="num" w:pos="-142"/>
        </w:tabs>
        <w:ind w:left="-142" w:hanging="360"/>
      </w:pPr>
      <w:rPr>
        <w:rFonts w:ascii="Wingdings" w:hAnsi="Wingdings" w:hint="default"/>
      </w:rPr>
    </w:lvl>
    <w:lvl w:ilvl="3" w:tplc="08090001">
      <w:start w:val="1"/>
      <w:numFmt w:val="bullet"/>
      <w:lvlText w:val=""/>
      <w:lvlJc w:val="left"/>
      <w:pPr>
        <w:tabs>
          <w:tab w:val="num" w:pos="578"/>
        </w:tabs>
        <w:ind w:left="578" w:hanging="360"/>
      </w:pPr>
      <w:rPr>
        <w:rFonts w:ascii="Symbol" w:hAnsi="Symbol" w:hint="default"/>
      </w:rPr>
    </w:lvl>
    <w:lvl w:ilvl="4" w:tplc="08090003">
      <w:start w:val="1"/>
      <w:numFmt w:val="bullet"/>
      <w:lvlText w:val="o"/>
      <w:lvlJc w:val="left"/>
      <w:pPr>
        <w:tabs>
          <w:tab w:val="num" w:pos="1298"/>
        </w:tabs>
        <w:ind w:left="1298" w:hanging="360"/>
      </w:pPr>
      <w:rPr>
        <w:rFonts w:ascii="Courier New" w:hAnsi="Courier New" w:cs="Courier New" w:hint="default"/>
      </w:rPr>
    </w:lvl>
    <w:lvl w:ilvl="5" w:tplc="08090005">
      <w:start w:val="1"/>
      <w:numFmt w:val="bullet"/>
      <w:lvlText w:val=""/>
      <w:lvlJc w:val="left"/>
      <w:pPr>
        <w:tabs>
          <w:tab w:val="num" w:pos="2018"/>
        </w:tabs>
        <w:ind w:left="2018" w:hanging="360"/>
      </w:pPr>
      <w:rPr>
        <w:rFonts w:ascii="Wingdings" w:hAnsi="Wingdings" w:hint="default"/>
      </w:rPr>
    </w:lvl>
    <w:lvl w:ilvl="6" w:tplc="08090001">
      <w:start w:val="1"/>
      <w:numFmt w:val="bullet"/>
      <w:lvlText w:val=""/>
      <w:lvlJc w:val="left"/>
      <w:pPr>
        <w:tabs>
          <w:tab w:val="num" w:pos="2738"/>
        </w:tabs>
        <w:ind w:left="2738" w:hanging="360"/>
      </w:pPr>
      <w:rPr>
        <w:rFonts w:ascii="Symbol" w:hAnsi="Symbol" w:hint="default"/>
      </w:rPr>
    </w:lvl>
    <w:lvl w:ilvl="7" w:tplc="08090003">
      <w:start w:val="1"/>
      <w:numFmt w:val="bullet"/>
      <w:lvlText w:val="o"/>
      <w:lvlJc w:val="left"/>
      <w:pPr>
        <w:tabs>
          <w:tab w:val="num" w:pos="3458"/>
        </w:tabs>
        <w:ind w:left="3458" w:hanging="360"/>
      </w:pPr>
      <w:rPr>
        <w:rFonts w:ascii="Courier New" w:hAnsi="Courier New" w:cs="Courier New" w:hint="default"/>
      </w:rPr>
    </w:lvl>
    <w:lvl w:ilvl="8" w:tplc="08090005">
      <w:start w:val="1"/>
      <w:numFmt w:val="bullet"/>
      <w:lvlText w:val=""/>
      <w:lvlJc w:val="left"/>
      <w:pPr>
        <w:tabs>
          <w:tab w:val="num" w:pos="4178"/>
        </w:tabs>
        <w:ind w:left="4178" w:hanging="360"/>
      </w:pPr>
      <w:rPr>
        <w:rFonts w:ascii="Wingdings" w:hAnsi="Wingdings" w:hint="default"/>
      </w:rPr>
    </w:lvl>
  </w:abstractNum>
  <w:abstractNum w:abstractNumId="3">
    <w:nsid w:val="4EC479CD"/>
    <w:multiLevelType w:val="multilevel"/>
    <w:tmpl w:val="7200E2F4"/>
    <w:lvl w:ilvl="0">
      <w:start w:val="1"/>
      <w:numFmt w:val="decimal"/>
      <w:lvlText w:val="%1"/>
      <w:lvlJc w:val="left"/>
      <w:pPr>
        <w:ind w:left="360" w:hanging="360"/>
      </w:pPr>
      <w:rPr>
        <w:rFonts w:hint="default"/>
        <w:color w:val="auto"/>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5B7C66B0"/>
    <w:multiLevelType w:val="hybridMultilevel"/>
    <w:tmpl w:val="7C7C1D98"/>
    <w:lvl w:ilvl="0" w:tplc="25D486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C125A7"/>
    <w:multiLevelType w:val="hybridMultilevel"/>
    <w:tmpl w:val="9FDE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F56071"/>
    <w:multiLevelType w:val="hybridMultilevel"/>
    <w:tmpl w:val="2BBE7996"/>
    <w:lvl w:ilvl="0" w:tplc="32288806">
      <w:numFmt w:val="bullet"/>
      <w:lvlText w:val="-"/>
      <w:lvlJc w:val="left"/>
      <w:pPr>
        <w:tabs>
          <w:tab w:val="num" w:pos="3088"/>
        </w:tabs>
        <w:ind w:left="3088"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EEB6AD6"/>
    <w:multiLevelType w:val="hybridMultilevel"/>
    <w:tmpl w:val="C6263ED0"/>
    <w:lvl w:ilvl="0" w:tplc="3228880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6FCB01FB"/>
    <w:multiLevelType w:val="hybridMultilevel"/>
    <w:tmpl w:val="60A6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2"/>
  </w:num>
  <w:num w:numId="5">
    <w:abstractNumId w:val="7"/>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5A"/>
    <w:rsid w:val="00005BCF"/>
    <w:rsid w:val="00065D77"/>
    <w:rsid w:val="00070F80"/>
    <w:rsid w:val="000865B4"/>
    <w:rsid w:val="00086A35"/>
    <w:rsid w:val="000E165E"/>
    <w:rsid w:val="000E587A"/>
    <w:rsid w:val="000F33EE"/>
    <w:rsid w:val="00107822"/>
    <w:rsid w:val="00133C4C"/>
    <w:rsid w:val="00133F32"/>
    <w:rsid w:val="0013541F"/>
    <w:rsid w:val="001354F7"/>
    <w:rsid w:val="001408BE"/>
    <w:rsid w:val="001546CB"/>
    <w:rsid w:val="00171DF6"/>
    <w:rsid w:val="00171E77"/>
    <w:rsid w:val="00182A40"/>
    <w:rsid w:val="001A625C"/>
    <w:rsid w:val="001A629F"/>
    <w:rsid w:val="001A7644"/>
    <w:rsid w:val="00202AFF"/>
    <w:rsid w:val="00223798"/>
    <w:rsid w:val="002328C2"/>
    <w:rsid w:val="00282A94"/>
    <w:rsid w:val="002B58E5"/>
    <w:rsid w:val="002C1D38"/>
    <w:rsid w:val="002C6C8E"/>
    <w:rsid w:val="00313798"/>
    <w:rsid w:val="00325C91"/>
    <w:rsid w:val="0034605A"/>
    <w:rsid w:val="00353F3E"/>
    <w:rsid w:val="00357498"/>
    <w:rsid w:val="00386372"/>
    <w:rsid w:val="003B2937"/>
    <w:rsid w:val="003C2B6C"/>
    <w:rsid w:val="0040304D"/>
    <w:rsid w:val="00417B5A"/>
    <w:rsid w:val="004812E0"/>
    <w:rsid w:val="004B0232"/>
    <w:rsid w:val="0051293E"/>
    <w:rsid w:val="00526AD2"/>
    <w:rsid w:val="00533281"/>
    <w:rsid w:val="0053782D"/>
    <w:rsid w:val="00560909"/>
    <w:rsid w:val="00564041"/>
    <w:rsid w:val="00582659"/>
    <w:rsid w:val="005843B5"/>
    <w:rsid w:val="00590000"/>
    <w:rsid w:val="00590F3F"/>
    <w:rsid w:val="005A68C3"/>
    <w:rsid w:val="005C2308"/>
    <w:rsid w:val="005C6733"/>
    <w:rsid w:val="005D389F"/>
    <w:rsid w:val="005E4ED2"/>
    <w:rsid w:val="0065519F"/>
    <w:rsid w:val="00670564"/>
    <w:rsid w:val="00673E72"/>
    <w:rsid w:val="006802BC"/>
    <w:rsid w:val="006B1B06"/>
    <w:rsid w:val="006D32CC"/>
    <w:rsid w:val="006D62D5"/>
    <w:rsid w:val="006F7A10"/>
    <w:rsid w:val="00702E12"/>
    <w:rsid w:val="00704FFD"/>
    <w:rsid w:val="007764DC"/>
    <w:rsid w:val="007845AC"/>
    <w:rsid w:val="007D284B"/>
    <w:rsid w:val="00816F22"/>
    <w:rsid w:val="00830C5A"/>
    <w:rsid w:val="00863463"/>
    <w:rsid w:val="00891340"/>
    <w:rsid w:val="00896C1E"/>
    <w:rsid w:val="008A2D18"/>
    <w:rsid w:val="008A7949"/>
    <w:rsid w:val="008C0E7B"/>
    <w:rsid w:val="008F4BC3"/>
    <w:rsid w:val="00905F15"/>
    <w:rsid w:val="00942783"/>
    <w:rsid w:val="009E258C"/>
    <w:rsid w:val="00A34972"/>
    <w:rsid w:val="00A369AF"/>
    <w:rsid w:val="00A42572"/>
    <w:rsid w:val="00A44884"/>
    <w:rsid w:val="00A62936"/>
    <w:rsid w:val="00A70252"/>
    <w:rsid w:val="00A75737"/>
    <w:rsid w:val="00A83C48"/>
    <w:rsid w:val="00A8669F"/>
    <w:rsid w:val="00B065F2"/>
    <w:rsid w:val="00B27624"/>
    <w:rsid w:val="00B30000"/>
    <w:rsid w:val="00B46C2E"/>
    <w:rsid w:val="00B6076F"/>
    <w:rsid w:val="00B97E6F"/>
    <w:rsid w:val="00BE01D3"/>
    <w:rsid w:val="00BF5C47"/>
    <w:rsid w:val="00BF7D64"/>
    <w:rsid w:val="00C034FA"/>
    <w:rsid w:val="00C15955"/>
    <w:rsid w:val="00C20D87"/>
    <w:rsid w:val="00C2411F"/>
    <w:rsid w:val="00C257C6"/>
    <w:rsid w:val="00C46CFA"/>
    <w:rsid w:val="00CA0735"/>
    <w:rsid w:val="00CB47EF"/>
    <w:rsid w:val="00CF1DC4"/>
    <w:rsid w:val="00CF5EEA"/>
    <w:rsid w:val="00D10B76"/>
    <w:rsid w:val="00D140CC"/>
    <w:rsid w:val="00D23050"/>
    <w:rsid w:val="00D23AE6"/>
    <w:rsid w:val="00D824C6"/>
    <w:rsid w:val="00DD2861"/>
    <w:rsid w:val="00DE4802"/>
    <w:rsid w:val="00E45C9D"/>
    <w:rsid w:val="00E60ED2"/>
    <w:rsid w:val="00E63D95"/>
    <w:rsid w:val="00E75D82"/>
    <w:rsid w:val="00E91B06"/>
    <w:rsid w:val="00E97363"/>
    <w:rsid w:val="00EF16EC"/>
    <w:rsid w:val="00EF7736"/>
    <w:rsid w:val="00F67C8B"/>
    <w:rsid w:val="00FC3D7F"/>
    <w:rsid w:val="00FE2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30C5A"/>
    <w:rPr>
      <w:color w:val="0000FF"/>
      <w:u w:val="single"/>
    </w:rPr>
  </w:style>
  <w:style w:type="paragraph" w:styleId="Title">
    <w:name w:val="Title"/>
    <w:basedOn w:val="Normal"/>
    <w:link w:val="TitleChar"/>
    <w:qFormat/>
    <w:rsid w:val="00830C5A"/>
    <w:pPr>
      <w:spacing w:after="0" w:line="240" w:lineRule="auto"/>
      <w:jc w:val="center"/>
    </w:pPr>
    <w:rPr>
      <w:rFonts w:ascii="Arial" w:eastAsia="Times New Roman" w:hAnsi="Arial" w:cs="Arial"/>
      <w:b/>
      <w:bCs/>
      <w:sz w:val="28"/>
      <w:szCs w:val="28"/>
    </w:rPr>
  </w:style>
  <w:style w:type="character" w:customStyle="1" w:styleId="TitleChar">
    <w:name w:val="Title Char"/>
    <w:link w:val="Title"/>
    <w:rsid w:val="00830C5A"/>
    <w:rPr>
      <w:rFonts w:ascii="Arial" w:eastAsia="Times New Roman" w:hAnsi="Arial" w:cs="Arial"/>
      <w:b/>
      <w:bCs/>
      <w:sz w:val="28"/>
      <w:szCs w:val="28"/>
      <w:lang w:eastAsia="en-US"/>
    </w:rPr>
  </w:style>
  <w:style w:type="paragraph" w:customStyle="1" w:styleId="Default">
    <w:name w:val="Default"/>
    <w:rsid w:val="00830C5A"/>
    <w:pPr>
      <w:autoSpaceDE w:val="0"/>
      <w:autoSpaceDN w:val="0"/>
      <w:adjustRightInd w:val="0"/>
    </w:pPr>
    <w:rPr>
      <w:rFonts w:ascii="Arial" w:eastAsia="Batang" w:hAnsi="Arial" w:cs="Arial"/>
      <w:color w:val="000000"/>
      <w:sz w:val="24"/>
      <w:szCs w:val="24"/>
      <w:lang w:eastAsia="ko-KR"/>
    </w:rPr>
  </w:style>
  <w:style w:type="paragraph" w:styleId="ListParagraph">
    <w:name w:val="List Paragraph"/>
    <w:basedOn w:val="Normal"/>
    <w:uiPriority w:val="34"/>
    <w:qFormat/>
    <w:rsid w:val="00005BCF"/>
    <w:pPr>
      <w:widowControl w:val="0"/>
      <w:spacing w:after="0" w:line="240" w:lineRule="auto"/>
    </w:pPr>
    <w:rPr>
      <w:lang w:val="en-US"/>
    </w:rPr>
  </w:style>
  <w:style w:type="paragraph" w:styleId="Header">
    <w:name w:val="header"/>
    <w:basedOn w:val="Normal"/>
    <w:link w:val="HeaderChar"/>
    <w:uiPriority w:val="99"/>
    <w:unhideWhenUsed/>
    <w:rsid w:val="00891340"/>
    <w:pPr>
      <w:tabs>
        <w:tab w:val="center" w:pos="4513"/>
        <w:tab w:val="right" w:pos="9026"/>
      </w:tabs>
    </w:pPr>
  </w:style>
  <w:style w:type="character" w:customStyle="1" w:styleId="HeaderChar">
    <w:name w:val="Header Char"/>
    <w:link w:val="Header"/>
    <w:uiPriority w:val="99"/>
    <w:rsid w:val="00891340"/>
    <w:rPr>
      <w:sz w:val="22"/>
      <w:szCs w:val="22"/>
      <w:lang w:eastAsia="en-US"/>
    </w:rPr>
  </w:style>
  <w:style w:type="paragraph" w:styleId="Footer">
    <w:name w:val="footer"/>
    <w:basedOn w:val="Normal"/>
    <w:link w:val="FooterChar"/>
    <w:uiPriority w:val="99"/>
    <w:unhideWhenUsed/>
    <w:rsid w:val="00891340"/>
    <w:pPr>
      <w:tabs>
        <w:tab w:val="center" w:pos="4513"/>
        <w:tab w:val="right" w:pos="9026"/>
      </w:tabs>
    </w:pPr>
  </w:style>
  <w:style w:type="character" w:customStyle="1" w:styleId="FooterChar">
    <w:name w:val="Footer Char"/>
    <w:link w:val="Footer"/>
    <w:uiPriority w:val="99"/>
    <w:rsid w:val="00891340"/>
    <w:rPr>
      <w:sz w:val="22"/>
      <w:szCs w:val="22"/>
      <w:lang w:eastAsia="en-US"/>
    </w:rPr>
  </w:style>
  <w:style w:type="paragraph" w:styleId="BalloonText">
    <w:name w:val="Balloon Text"/>
    <w:basedOn w:val="Normal"/>
    <w:link w:val="BalloonTextChar"/>
    <w:uiPriority w:val="99"/>
    <w:semiHidden/>
    <w:unhideWhenUsed/>
    <w:rsid w:val="00D230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3050"/>
    <w:rPr>
      <w:rFonts w:ascii="Tahoma" w:hAnsi="Tahoma" w:cs="Tahoma"/>
      <w:sz w:val="16"/>
      <w:szCs w:val="16"/>
      <w:lang w:eastAsia="en-US"/>
    </w:rPr>
  </w:style>
  <w:style w:type="character" w:styleId="CommentReference">
    <w:name w:val="annotation reference"/>
    <w:uiPriority w:val="99"/>
    <w:semiHidden/>
    <w:unhideWhenUsed/>
    <w:rsid w:val="006F7A10"/>
    <w:rPr>
      <w:sz w:val="16"/>
      <w:szCs w:val="16"/>
    </w:rPr>
  </w:style>
  <w:style w:type="paragraph" w:styleId="CommentText">
    <w:name w:val="annotation text"/>
    <w:basedOn w:val="Normal"/>
    <w:link w:val="CommentTextChar"/>
    <w:uiPriority w:val="99"/>
    <w:semiHidden/>
    <w:unhideWhenUsed/>
    <w:rsid w:val="006F7A10"/>
    <w:rPr>
      <w:sz w:val="20"/>
      <w:szCs w:val="20"/>
    </w:rPr>
  </w:style>
  <w:style w:type="character" w:customStyle="1" w:styleId="CommentTextChar">
    <w:name w:val="Comment Text Char"/>
    <w:link w:val="CommentText"/>
    <w:uiPriority w:val="99"/>
    <w:semiHidden/>
    <w:rsid w:val="006F7A10"/>
    <w:rPr>
      <w:lang w:eastAsia="en-US"/>
    </w:rPr>
  </w:style>
  <w:style w:type="paragraph" w:styleId="CommentSubject">
    <w:name w:val="annotation subject"/>
    <w:basedOn w:val="CommentText"/>
    <w:next w:val="CommentText"/>
    <w:link w:val="CommentSubjectChar"/>
    <w:uiPriority w:val="99"/>
    <w:semiHidden/>
    <w:unhideWhenUsed/>
    <w:rsid w:val="006F7A10"/>
    <w:rPr>
      <w:b/>
      <w:bCs/>
    </w:rPr>
  </w:style>
  <w:style w:type="character" w:customStyle="1" w:styleId="CommentSubjectChar">
    <w:name w:val="Comment Subject Char"/>
    <w:link w:val="CommentSubject"/>
    <w:uiPriority w:val="99"/>
    <w:semiHidden/>
    <w:rsid w:val="006F7A10"/>
    <w:rPr>
      <w:b/>
      <w:bCs/>
      <w:lang w:eastAsia="en-US"/>
    </w:rPr>
  </w:style>
  <w:style w:type="character" w:styleId="FollowedHyperlink">
    <w:name w:val="FollowedHyperlink"/>
    <w:basedOn w:val="DefaultParagraphFont"/>
    <w:uiPriority w:val="99"/>
    <w:semiHidden/>
    <w:unhideWhenUsed/>
    <w:rsid w:val="00B276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30C5A"/>
    <w:rPr>
      <w:color w:val="0000FF"/>
      <w:u w:val="single"/>
    </w:rPr>
  </w:style>
  <w:style w:type="paragraph" w:styleId="Title">
    <w:name w:val="Title"/>
    <w:basedOn w:val="Normal"/>
    <w:link w:val="TitleChar"/>
    <w:qFormat/>
    <w:rsid w:val="00830C5A"/>
    <w:pPr>
      <w:spacing w:after="0" w:line="240" w:lineRule="auto"/>
      <w:jc w:val="center"/>
    </w:pPr>
    <w:rPr>
      <w:rFonts w:ascii="Arial" w:eastAsia="Times New Roman" w:hAnsi="Arial" w:cs="Arial"/>
      <w:b/>
      <w:bCs/>
      <w:sz w:val="28"/>
      <w:szCs w:val="28"/>
    </w:rPr>
  </w:style>
  <w:style w:type="character" w:customStyle="1" w:styleId="TitleChar">
    <w:name w:val="Title Char"/>
    <w:link w:val="Title"/>
    <w:rsid w:val="00830C5A"/>
    <w:rPr>
      <w:rFonts w:ascii="Arial" w:eastAsia="Times New Roman" w:hAnsi="Arial" w:cs="Arial"/>
      <w:b/>
      <w:bCs/>
      <w:sz w:val="28"/>
      <w:szCs w:val="28"/>
      <w:lang w:eastAsia="en-US"/>
    </w:rPr>
  </w:style>
  <w:style w:type="paragraph" w:customStyle="1" w:styleId="Default">
    <w:name w:val="Default"/>
    <w:rsid w:val="00830C5A"/>
    <w:pPr>
      <w:autoSpaceDE w:val="0"/>
      <w:autoSpaceDN w:val="0"/>
      <w:adjustRightInd w:val="0"/>
    </w:pPr>
    <w:rPr>
      <w:rFonts w:ascii="Arial" w:eastAsia="Batang" w:hAnsi="Arial" w:cs="Arial"/>
      <w:color w:val="000000"/>
      <w:sz w:val="24"/>
      <w:szCs w:val="24"/>
      <w:lang w:eastAsia="ko-KR"/>
    </w:rPr>
  </w:style>
  <w:style w:type="paragraph" w:styleId="ListParagraph">
    <w:name w:val="List Paragraph"/>
    <w:basedOn w:val="Normal"/>
    <w:uiPriority w:val="34"/>
    <w:qFormat/>
    <w:rsid w:val="00005BCF"/>
    <w:pPr>
      <w:widowControl w:val="0"/>
      <w:spacing w:after="0" w:line="240" w:lineRule="auto"/>
    </w:pPr>
    <w:rPr>
      <w:lang w:val="en-US"/>
    </w:rPr>
  </w:style>
  <w:style w:type="paragraph" w:styleId="Header">
    <w:name w:val="header"/>
    <w:basedOn w:val="Normal"/>
    <w:link w:val="HeaderChar"/>
    <w:uiPriority w:val="99"/>
    <w:unhideWhenUsed/>
    <w:rsid w:val="00891340"/>
    <w:pPr>
      <w:tabs>
        <w:tab w:val="center" w:pos="4513"/>
        <w:tab w:val="right" w:pos="9026"/>
      </w:tabs>
    </w:pPr>
  </w:style>
  <w:style w:type="character" w:customStyle="1" w:styleId="HeaderChar">
    <w:name w:val="Header Char"/>
    <w:link w:val="Header"/>
    <w:uiPriority w:val="99"/>
    <w:rsid w:val="00891340"/>
    <w:rPr>
      <w:sz w:val="22"/>
      <w:szCs w:val="22"/>
      <w:lang w:eastAsia="en-US"/>
    </w:rPr>
  </w:style>
  <w:style w:type="paragraph" w:styleId="Footer">
    <w:name w:val="footer"/>
    <w:basedOn w:val="Normal"/>
    <w:link w:val="FooterChar"/>
    <w:uiPriority w:val="99"/>
    <w:unhideWhenUsed/>
    <w:rsid w:val="00891340"/>
    <w:pPr>
      <w:tabs>
        <w:tab w:val="center" w:pos="4513"/>
        <w:tab w:val="right" w:pos="9026"/>
      </w:tabs>
    </w:pPr>
  </w:style>
  <w:style w:type="character" w:customStyle="1" w:styleId="FooterChar">
    <w:name w:val="Footer Char"/>
    <w:link w:val="Footer"/>
    <w:uiPriority w:val="99"/>
    <w:rsid w:val="00891340"/>
    <w:rPr>
      <w:sz w:val="22"/>
      <w:szCs w:val="22"/>
      <w:lang w:eastAsia="en-US"/>
    </w:rPr>
  </w:style>
  <w:style w:type="paragraph" w:styleId="BalloonText">
    <w:name w:val="Balloon Text"/>
    <w:basedOn w:val="Normal"/>
    <w:link w:val="BalloonTextChar"/>
    <w:uiPriority w:val="99"/>
    <w:semiHidden/>
    <w:unhideWhenUsed/>
    <w:rsid w:val="00D230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3050"/>
    <w:rPr>
      <w:rFonts w:ascii="Tahoma" w:hAnsi="Tahoma" w:cs="Tahoma"/>
      <w:sz w:val="16"/>
      <w:szCs w:val="16"/>
      <w:lang w:eastAsia="en-US"/>
    </w:rPr>
  </w:style>
  <w:style w:type="character" w:styleId="CommentReference">
    <w:name w:val="annotation reference"/>
    <w:uiPriority w:val="99"/>
    <w:semiHidden/>
    <w:unhideWhenUsed/>
    <w:rsid w:val="006F7A10"/>
    <w:rPr>
      <w:sz w:val="16"/>
      <w:szCs w:val="16"/>
    </w:rPr>
  </w:style>
  <w:style w:type="paragraph" w:styleId="CommentText">
    <w:name w:val="annotation text"/>
    <w:basedOn w:val="Normal"/>
    <w:link w:val="CommentTextChar"/>
    <w:uiPriority w:val="99"/>
    <w:semiHidden/>
    <w:unhideWhenUsed/>
    <w:rsid w:val="006F7A10"/>
    <w:rPr>
      <w:sz w:val="20"/>
      <w:szCs w:val="20"/>
    </w:rPr>
  </w:style>
  <w:style w:type="character" w:customStyle="1" w:styleId="CommentTextChar">
    <w:name w:val="Comment Text Char"/>
    <w:link w:val="CommentText"/>
    <w:uiPriority w:val="99"/>
    <w:semiHidden/>
    <w:rsid w:val="006F7A10"/>
    <w:rPr>
      <w:lang w:eastAsia="en-US"/>
    </w:rPr>
  </w:style>
  <w:style w:type="paragraph" w:styleId="CommentSubject">
    <w:name w:val="annotation subject"/>
    <w:basedOn w:val="CommentText"/>
    <w:next w:val="CommentText"/>
    <w:link w:val="CommentSubjectChar"/>
    <w:uiPriority w:val="99"/>
    <w:semiHidden/>
    <w:unhideWhenUsed/>
    <w:rsid w:val="006F7A10"/>
    <w:rPr>
      <w:b/>
      <w:bCs/>
    </w:rPr>
  </w:style>
  <w:style w:type="character" w:customStyle="1" w:styleId="CommentSubjectChar">
    <w:name w:val="Comment Subject Char"/>
    <w:link w:val="CommentSubject"/>
    <w:uiPriority w:val="99"/>
    <w:semiHidden/>
    <w:rsid w:val="006F7A10"/>
    <w:rPr>
      <w:b/>
      <w:bCs/>
      <w:lang w:eastAsia="en-US"/>
    </w:rPr>
  </w:style>
  <w:style w:type="character" w:styleId="FollowedHyperlink">
    <w:name w:val="FollowedHyperlink"/>
    <w:basedOn w:val="DefaultParagraphFont"/>
    <w:uiPriority w:val="99"/>
    <w:semiHidden/>
    <w:unhideWhenUsed/>
    <w:rsid w:val="00B27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6627">
      <w:bodyDiv w:val="1"/>
      <w:marLeft w:val="0"/>
      <w:marRight w:val="0"/>
      <w:marTop w:val="0"/>
      <w:marBottom w:val="0"/>
      <w:divBdr>
        <w:top w:val="none" w:sz="0" w:space="0" w:color="auto"/>
        <w:left w:val="none" w:sz="0" w:space="0" w:color="auto"/>
        <w:bottom w:val="none" w:sz="0" w:space="0" w:color="auto"/>
        <w:right w:val="none" w:sz="0" w:space="0" w:color="auto"/>
      </w:divBdr>
    </w:div>
    <w:div w:id="17945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wp-content/uploads/2018/03/responsibility-prescribing-between-primary-secondary-care-v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medicine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4868-8D66-49C4-8E8F-4319F154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12026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14107</CharactersWithSpaces>
  <SharedDoc>false</SharedDoc>
  <HLinks>
    <vt:vector size="48" baseType="variant">
      <vt:variant>
        <vt:i4>3670139</vt:i4>
      </vt:variant>
      <vt:variant>
        <vt:i4>15</vt:i4>
      </vt:variant>
      <vt:variant>
        <vt:i4>0</vt:i4>
      </vt:variant>
      <vt:variant>
        <vt:i4>5</vt:i4>
      </vt:variant>
      <vt:variant>
        <vt:lpwstr>http://www.intranet.sheffieldccg.nhs.uk/medicines-prescribing/shared-care-protocols.htm</vt:lpwstr>
      </vt:variant>
      <vt:variant>
        <vt:lpwstr/>
      </vt:variant>
      <vt:variant>
        <vt:i4>8126579</vt:i4>
      </vt:variant>
      <vt:variant>
        <vt:i4>12</vt:i4>
      </vt:variant>
      <vt:variant>
        <vt:i4>0</vt:i4>
      </vt:variant>
      <vt:variant>
        <vt:i4>5</vt:i4>
      </vt:variant>
      <vt:variant>
        <vt:lpwstr>https://www.england.nhs.uk/wp-content/uploads/2018/03/responsibility-prescribing-between-primary-secondary-care-v2.pdf</vt:lpwstr>
      </vt:variant>
      <vt:variant>
        <vt:lpwstr/>
      </vt:variant>
      <vt:variant>
        <vt:i4>524298</vt:i4>
      </vt:variant>
      <vt:variant>
        <vt:i4>9</vt:i4>
      </vt:variant>
      <vt:variant>
        <vt:i4>0</vt:i4>
      </vt:variant>
      <vt:variant>
        <vt:i4>5</vt:i4>
      </vt:variant>
      <vt:variant>
        <vt:lpwstr>http://www.emc.medicines.org.uk/</vt:lpwstr>
      </vt:variant>
      <vt:variant>
        <vt:lpwstr/>
      </vt:variant>
      <vt:variant>
        <vt:i4>8061005</vt:i4>
      </vt:variant>
      <vt:variant>
        <vt:i4>6</vt:i4>
      </vt:variant>
      <vt:variant>
        <vt:i4>0</vt:i4>
      </vt:variant>
      <vt:variant>
        <vt:i4>5</vt:i4>
      </vt:variant>
      <vt:variant>
        <vt:lpwstr>http://www.intranet.sheffieldccg.nhs.uk/Downloads/Medicines Management/Practice resources and PGDs/Recording_SIDs_on_practice_clinical_systems.pdf</vt:lpwstr>
      </vt:variant>
      <vt:variant>
        <vt:lpwstr/>
      </vt:variant>
      <vt:variant>
        <vt:i4>1441825</vt:i4>
      </vt:variant>
      <vt:variant>
        <vt:i4>3</vt:i4>
      </vt:variant>
      <vt:variant>
        <vt:i4>0</vt:i4>
      </vt:variant>
      <vt:variant>
        <vt:i4>5</vt:i4>
      </vt:variant>
      <vt:variant>
        <vt:lpwstr>https://www.google.co.uk/url?sa=i&amp;rct=j&amp;q=&amp;esrc=s&amp;source=images&amp;cd=&amp;cad=rja&amp;uact=8&amp;ved=0ahUKEwj0-5_Hm9rZAhVqLZoKHWMuDR4QjRwIBg&amp;url=https://www.frank-health.co.uk/portfolio/sheffield-ccg/&amp;psig=AOvVaw2I5ZHXxkseXPlTO98nhOGy&amp;ust=1520512215758260</vt:lpwstr>
      </vt:variant>
      <vt:variant>
        <vt:lpwstr/>
      </vt:variant>
      <vt:variant>
        <vt:i4>1441825</vt:i4>
      </vt:variant>
      <vt:variant>
        <vt:i4>0</vt:i4>
      </vt:variant>
      <vt:variant>
        <vt:i4>0</vt:i4>
      </vt:variant>
      <vt:variant>
        <vt:i4>5</vt:i4>
      </vt:variant>
      <vt:variant>
        <vt:lpwstr>https://www.google.co.uk/url?sa=i&amp;rct=j&amp;q=&amp;esrc=s&amp;source=images&amp;cd=&amp;cad=rja&amp;uact=8&amp;ved=0ahUKEwj0-5_Hm9rZAhVqLZoKHWMuDR4QjRwIBg&amp;url=https://www.frank-health.co.uk/portfolio/sheffield-ccg/&amp;psig=AOvVaw2I5ZHXxkseXPlTO98nhOGy&amp;ust=1520512215758260</vt:lpwstr>
      </vt:variant>
      <vt:variant>
        <vt:lpwstr/>
      </vt:variant>
      <vt:variant>
        <vt:i4>1441825</vt:i4>
      </vt:variant>
      <vt:variant>
        <vt:i4>2307</vt:i4>
      </vt:variant>
      <vt:variant>
        <vt:i4>1032</vt:i4>
      </vt:variant>
      <vt:variant>
        <vt:i4>4</vt:i4>
      </vt:variant>
      <vt:variant>
        <vt:lpwstr>https://www.google.co.uk/url?sa=i&amp;rct=j&amp;q=&amp;esrc=s&amp;source=images&amp;cd=&amp;cad=rja&amp;uact=8&amp;ved=0ahUKEwj0-5_Hm9rZAhVqLZoKHWMuDR4QjRwIBg&amp;url=https://www.frank-health.co.uk/portfolio/sheffield-ccg/&amp;psig=AOvVaw2I5ZHXxkseXPlTO98nhOGy&amp;ust=1520512215758260</vt:lpwstr>
      </vt:variant>
      <vt:variant>
        <vt:lpwstr/>
      </vt:variant>
      <vt:variant>
        <vt:i4>1441825</vt:i4>
      </vt:variant>
      <vt:variant>
        <vt:i4>6354</vt:i4>
      </vt:variant>
      <vt:variant>
        <vt:i4>1025</vt:i4>
      </vt:variant>
      <vt:variant>
        <vt:i4>4</vt:i4>
      </vt:variant>
      <vt:variant>
        <vt:lpwstr>https://www.google.co.uk/url?sa=i&amp;rct=j&amp;q=&amp;esrc=s&amp;source=images&amp;cd=&amp;cad=rja&amp;uact=8&amp;ved=0ahUKEwj0-5_Hm9rZAhVqLZoKHWMuDR4QjRwIBg&amp;url=https://www.frank-health.co.uk/portfolio/sheffield-ccg/&amp;psig=AOvVaw2I5ZHXxkseXPlTO98nhOGy&amp;ust=1520512215758260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 Kebell</dc:creator>
  <cp:lastModifiedBy>Cox, Jennifer</cp:lastModifiedBy>
  <cp:revision>2</cp:revision>
  <cp:lastPrinted>2019-01-18T11:18:00Z</cp:lastPrinted>
  <dcterms:created xsi:type="dcterms:W3CDTF">2019-02-07T13:13:00Z</dcterms:created>
  <dcterms:modified xsi:type="dcterms:W3CDTF">2019-02-07T13:13:00Z</dcterms:modified>
</cp:coreProperties>
</file>