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33" w:rsidRPr="00A43333" w:rsidRDefault="00A43333" w:rsidP="00A43333">
      <w:pPr>
        <w:widowControl w:val="0"/>
        <w:spacing w:after="0" w:line="240" w:lineRule="auto"/>
        <w:ind w:left="1194" w:right="1232"/>
        <w:outlineLvl w:val="1"/>
        <w:rPr>
          <w:rFonts w:ascii="InterFace" w:eastAsia="Times New Roman" w:hAnsi="InterFace" w:cs="InterFace"/>
          <w:b/>
          <w:bCs/>
          <w:sz w:val="19"/>
          <w:szCs w:val="19"/>
          <w:lang w:val="en-US"/>
        </w:rPr>
      </w:pPr>
      <w:r w:rsidRPr="00A43333">
        <w:rPr>
          <w:rFonts w:ascii="InterFace" w:eastAsia="Times New Roman" w:hAnsi="InterFace" w:cs="InterFace"/>
          <w:b/>
          <w:bCs/>
          <w:color w:val="575756"/>
          <w:sz w:val="19"/>
          <w:szCs w:val="19"/>
          <w:lang w:val="en-US"/>
        </w:rPr>
        <w:t>Template response for delayed discharge summaries</w:t>
      </w:r>
    </w:p>
    <w:p w:rsidR="00A43333" w:rsidRPr="00A43333" w:rsidRDefault="00A43333" w:rsidP="00A43333">
      <w:pPr>
        <w:widowControl w:val="0"/>
        <w:spacing w:after="0" w:line="240" w:lineRule="auto"/>
        <w:rPr>
          <w:rFonts w:ascii="InterFace" w:eastAsia="Times New Roman" w:hAnsi="InterFace" w:cs="InterFace"/>
          <w:b/>
          <w:sz w:val="18"/>
          <w:szCs w:val="19"/>
          <w:lang w:val="en-US"/>
        </w:rPr>
      </w:pPr>
    </w:p>
    <w:p w:rsidR="00A43333" w:rsidRPr="00A43333" w:rsidRDefault="00A43333" w:rsidP="00A43333">
      <w:pPr>
        <w:widowControl w:val="0"/>
        <w:spacing w:after="0" w:line="240" w:lineRule="auto"/>
        <w:rPr>
          <w:rFonts w:ascii="InterFace" w:eastAsia="Times New Roman" w:hAnsi="InterFace" w:cs="InterFace"/>
          <w:b/>
          <w:sz w:val="18"/>
          <w:szCs w:val="19"/>
          <w:lang w:val="en-US"/>
        </w:rPr>
      </w:pPr>
    </w:p>
    <w:p w:rsidR="00A43333" w:rsidRPr="00A43333" w:rsidRDefault="00A43333" w:rsidP="00A43333">
      <w:pPr>
        <w:widowControl w:val="0"/>
        <w:spacing w:before="7" w:after="0" w:line="240" w:lineRule="auto"/>
        <w:rPr>
          <w:rFonts w:ascii="InterFace" w:eastAsia="Times New Roman" w:hAnsi="InterFace" w:cs="InterFace"/>
          <w:b/>
          <w:sz w:val="26"/>
          <w:szCs w:val="19"/>
          <w:lang w:val="en-US"/>
        </w:rPr>
      </w:pPr>
    </w:p>
    <w:p w:rsidR="00A43333" w:rsidRPr="00A43333" w:rsidRDefault="00A43333" w:rsidP="00A43333">
      <w:pPr>
        <w:widowControl w:val="0"/>
        <w:spacing w:after="0" w:line="240"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Dear Provider,</w:t>
      </w:r>
    </w:p>
    <w:p w:rsidR="00A43333" w:rsidRPr="00A43333" w:rsidRDefault="00A43333" w:rsidP="00A43333">
      <w:pPr>
        <w:widowControl w:val="0"/>
        <w:spacing w:before="9" w:after="0" w:line="240" w:lineRule="auto"/>
        <w:rPr>
          <w:rFonts w:ascii="InterFace" w:eastAsia="Times New Roman" w:hAnsi="InterFace" w:cs="InterFace"/>
          <w:sz w:val="21"/>
          <w:szCs w:val="19"/>
          <w:lang w:val="en-US"/>
        </w:rPr>
      </w:pPr>
    </w:p>
    <w:p w:rsidR="00A43333" w:rsidRPr="00A43333" w:rsidRDefault="00A43333" w:rsidP="00A43333">
      <w:pPr>
        <w:widowControl w:val="0"/>
        <w:spacing w:after="0" w:line="240"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Re: &lt;&lt;Patient Identifier Label&gt;&gt;</w:t>
      </w:r>
    </w:p>
    <w:p w:rsidR="00A43333" w:rsidRPr="00A43333" w:rsidRDefault="00A43333" w:rsidP="00A43333">
      <w:pPr>
        <w:widowControl w:val="0"/>
        <w:spacing w:before="9" w:after="0" w:line="240" w:lineRule="auto"/>
        <w:rPr>
          <w:rFonts w:ascii="InterFace" w:eastAsia="Times New Roman" w:hAnsi="InterFace" w:cs="InterFace"/>
          <w:sz w:val="21"/>
          <w:szCs w:val="19"/>
          <w:lang w:val="en-US"/>
        </w:rPr>
      </w:pPr>
    </w:p>
    <w:p w:rsidR="00A43333" w:rsidRPr="00A43333" w:rsidRDefault="00A43333" w:rsidP="00A43333">
      <w:pPr>
        <w:widowControl w:val="0"/>
        <w:spacing w:after="0" w:line="256"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The above patient was discharged from your [inpatient/day case/A&amp;E care] on [insert date]. We have to date not received a discharge letter. Delays in receiving hospital communication prevent GPs from having necessary information to manage patents, and also wastes millions of GP appointments annually.</w:t>
      </w:r>
    </w:p>
    <w:p w:rsidR="00A43333" w:rsidRPr="00A43333" w:rsidRDefault="00A43333" w:rsidP="00A43333">
      <w:pPr>
        <w:widowControl w:val="0"/>
        <w:spacing w:before="5" w:after="0" w:line="240" w:lineRule="auto"/>
        <w:rPr>
          <w:rFonts w:ascii="InterFace" w:eastAsia="Times New Roman" w:hAnsi="InterFace" w:cs="InterFace"/>
          <w:sz w:val="20"/>
          <w:szCs w:val="19"/>
          <w:lang w:val="en-US"/>
        </w:rPr>
      </w:pPr>
    </w:p>
    <w:p w:rsidR="00A43333" w:rsidRPr="00A43333" w:rsidRDefault="00A43333" w:rsidP="00A43333">
      <w:pPr>
        <w:widowControl w:val="0"/>
        <w:spacing w:after="0" w:line="256" w:lineRule="auto"/>
        <w:ind w:left="1194" w:right="1429"/>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 xml:space="preserve">This also breaches the </w:t>
      </w:r>
      <w:hyperlink r:id="rId4">
        <w:r w:rsidRPr="00A43333">
          <w:rPr>
            <w:rFonts w:ascii="InterFace" w:eastAsia="Times New Roman" w:hAnsi="InterFace" w:cs="InterFace"/>
            <w:color w:val="0067B1"/>
            <w:sz w:val="19"/>
            <w:szCs w:val="19"/>
            <w:u w:val="single" w:color="0067B1"/>
            <w:lang w:val="en-US"/>
          </w:rPr>
          <w:t xml:space="preserve">new hospital standard contract </w:t>
        </w:r>
      </w:hyperlink>
      <w:r w:rsidRPr="00A43333">
        <w:rPr>
          <w:rFonts w:ascii="InterFace" w:eastAsia="Times New Roman" w:hAnsi="InterFace" w:cs="InterFace"/>
          <w:color w:val="575756"/>
          <w:sz w:val="19"/>
          <w:szCs w:val="19"/>
          <w:lang w:val="en-US"/>
        </w:rPr>
        <w:t>which came into force on 1 April 2016, with new requirements to reduce inappropriate bureaucratic workload shift onto GP practices.</w:t>
      </w:r>
    </w:p>
    <w:p w:rsidR="00A43333" w:rsidRPr="00A43333" w:rsidRDefault="00A43333" w:rsidP="00A43333">
      <w:pPr>
        <w:widowControl w:val="0"/>
        <w:spacing w:before="8" w:after="0" w:line="240" w:lineRule="auto"/>
        <w:rPr>
          <w:rFonts w:ascii="InterFace" w:eastAsia="Times New Roman" w:hAnsi="InterFace" w:cs="InterFace"/>
          <w:sz w:val="23"/>
          <w:szCs w:val="19"/>
          <w:lang w:val="en-US"/>
        </w:rPr>
      </w:pPr>
      <w:r w:rsidRPr="00A43333">
        <w:rPr>
          <w:rFonts w:ascii="InterFace" w:eastAsia="Times New Roman" w:hAnsi="InterFace" w:cs="InterFace"/>
          <w:noProof/>
          <w:sz w:val="19"/>
          <w:szCs w:val="19"/>
          <w:lang w:eastAsia="en-GB"/>
        </w:rPr>
        <mc:AlternateContent>
          <mc:Choice Requires="wps">
            <w:drawing>
              <wp:anchor distT="0" distB="0" distL="0" distR="0" simplePos="0" relativeHeight="251659264" behindDoc="0" locked="0" layoutInCell="1" allowOverlap="1">
                <wp:simplePos x="0" y="0"/>
                <wp:positionH relativeFrom="page">
                  <wp:posOffset>1799590</wp:posOffset>
                </wp:positionH>
                <wp:positionV relativeFrom="paragraph">
                  <wp:posOffset>191770</wp:posOffset>
                </wp:positionV>
                <wp:extent cx="4644390" cy="838200"/>
                <wp:effectExtent l="0" t="1270" r="444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838200"/>
                        </a:xfrm>
                        <a:prstGeom prst="rect">
                          <a:avLst/>
                        </a:prstGeom>
                        <a:solidFill>
                          <a:srgbClr val="D3E9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333" w:rsidRDefault="00A43333" w:rsidP="00A43333">
                            <w:pPr>
                              <w:pStyle w:val="BodyText"/>
                              <w:spacing w:before="1"/>
                              <w:rPr>
                                <w:sz w:val="15"/>
                              </w:rPr>
                            </w:pPr>
                          </w:p>
                          <w:p w:rsidR="00A43333" w:rsidRDefault="00A43333" w:rsidP="00A43333">
                            <w:pPr>
                              <w:spacing w:line="256" w:lineRule="auto"/>
                              <w:ind w:left="170" w:right="253"/>
                              <w:rPr>
                                <w:b/>
                                <w:sz w:val="19"/>
                              </w:rPr>
                            </w:pPr>
                            <w:r>
                              <w:rPr>
                                <w:b/>
                                <w:color w:val="575756"/>
                                <w:sz w:val="19"/>
                              </w:rPr>
                              <w:t>Contract reference SC11 and definitions requires hospitals to send discharge summaries by direct electronic or email transmission for inpatient, day case or A&amp;E care within 24 hours, with local standards being set for discharge summaries from other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7pt;margin-top:15.1pt;width:365.7pt;height:6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" fillcolor="#d3e9fa" stroked="f">
                <v:textbox inset="0,0,0,0">
                  <w:txbxContent>
                    <w:p w:rsidR="00A43333" w:rsidRDefault="00A43333" w:rsidP="00A43333">
                      <w:pPr>
                        <w:pStyle w:val="BodyText"/>
                        <w:spacing w:before="1"/>
                        <w:rPr>
                          <w:sz w:val="15"/>
                        </w:rPr>
                      </w:pPr>
                    </w:p>
                    <w:p w:rsidR="00A43333" w:rsidRDefault="00A43333" w:rsidP="00A43333">
                      <w:pPr>
                        <w:spacing w:line="256" w:lineRule="auto"/>
                        <w:ind w:left="170" w:right="253"/>
                        <w:rPr>
                          <w:b/>
                          <w:sz w:val="19"/>
                        </w:rPr>
                      </w:pPr>
                      <w:r>
                        <w:rPr>
                          <w:b/>
                          <w:color w:val="575756"/>
                          <w:sz w:val="19"/>
                        </w:rPr>
                        <w:t>Contract reference SC11 and definitions requires hospitals to send discharge summaries by direct electronic or email transmission for inpatient, day case or A&amp;E care within 24 hours, with local standards being set for discharge summaries from other settings.</w:t>
                      </w:r>
                    </w:p>
                  </w:txbxContent>
                </v:textbox>
                <w10:wrap type="topAndBottom" anchorx="page"/>
              </v:shape>
            </w:pict>
          </mc:Fallback>
        </mc:AlternateContent>
      </w:r>
    </w:p>
    <w:p w:rsidR="00A43333" w:rsidRPr="00A43333" w:rsidRDefault="00A43333" w:rsidP="00A43333">
      <w:pPr>
        <w:widowControl w:val="0"/>
        <w:spacing w:before="10" w:after="0" w:line="240" w:lineRule="auto"/>
        <w:rPr>
          <w:rFonts w:ascii="InterFace" w:eastAsia="Times New Roman" w:hAnsi="InterFace" w:cs="InterFace"/>
          <w:sz w:val="17"/>
          <w:szCs w:val="19"/>
          <w:lang w:val="en-US"/>
        </w:rPr>
      </w:pPr>
    </w:p>
    <w:p w:rsidR="00A43333" w:rsidRPr="00A43333" w:rsidRDefault="00A43333" w:rsidP="00A43333">
      <w:pPr>
        <w:widowControl w:val="0"/>
        <w:spacing w:before="73" w:after="0" w:line="240"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 xml:space="preserve">This was reiterated in a recent </w:t>
      </w:r>
      <w:hyperlink r:id="rId5">
        <w:r w:rsidRPr="00A43333">
          <w:rPr>
            <w:rFonts w:ascii="InterFace" w:eastAsia="Times New Roman" w:hAnsi="InterFace" w:cs="InterFace"/>
            <w:color w:val="0067B1"/>
            <w:sz w:val="19"/>
            <w:szCs w:val="19"/>
            <w:u w:val="single" w:color="0067B1"/>
            <w:lang w:val="en-US"/>
          </w:rPr>
          <w:t>letter from NHS England</w:t>
        </w:r>
      </w:hyperlink>
      <w:r w:rsidRPr="00A43333">
        <w:rPr>
          <w:rFonts w:ascii="InterFace" w:eastAsia="Times New Roman" w:hAnsi="InterFace" w:cs="InterFace"/>
          <w:color w:val="0067B1"/>
          <w:sz w:val="19"/>
          <w:szCs w:val="19"/>
          <w:u w:val="single" w:color="0067B1"/>
          <w:lang w:val="en-US"/>
        </w:rPr>
        <w:t xml:space="preserve"> </w:t>
      </w:r>
      <w:r w:rsidRPr="00A43333">
        <w:rPr>
          <w:rFonts w:ascii="InterFace" w:eastAsia="Times New Roman" w:hAnsi="InterFace" w:cs="InterFace"/>
          <w:color w:val="575756"/>
          <w:sz w:val="19"/>
          <w:szCs w:val="19"/>
          <w:lang w:val="en-US"/>
        </w:rPr>
        <w:t>to all Trusts.</w:t>
      </w:r>
    </w:p>
    <w:p w:rsidR="00A43333" w:rsidRPr="00A43333" w:rsidRDefault="00A43333" w:rsidP="00A43333">
      <w:pPr>
        <w:widowControl w:val="0"/>
        <w:spacing w:before="9" w:after="0" w:line="240" w:lineRule="auto"/>
        <w:rPr>
          <w:rFonts w:ascii="InterFace" w:eastAsia="Times New Roman" w:hAnsi="InterFace" w:cs="InterFace"/>
          <w:sz w:val="21"/>
          <w:szCs w:val="19"/>
          <w:lang w:val="en-US"/>
        </w:rPr>
      </w:pPr>
    </w:p>
    <w:p w:rsidR="00A43333" w:rsidRPr="00A43333" w:rsidRDefault="00A43333" w:rsidP="00A43333">
      <w:pPr>
        <w:widowControl w:val="0"/>
        <w:spacing w:after="0" w:line="240" w:lineRule="auto"/>
        <w:ind w:left="1194" w:right="1160"/>
        <w:outlineLvl w:val="1"/>
        <w:rPr>
          <w:rFonts w:ascii="InterFace" w:eastAsia="Times New Roman" w:hAnsi="InterFace" w:cs="InterFace"/>
          <w:b/>
          <w:bCs/>
          <w:sz w:val="19"/>
          <w:szCs w:val="19"/>
          <w:lang w:val="en-US"/>
        </w:rPr>
      </w:pPr>
      <w:r w:rsidRPr="00A43333">
        <w:rPr>
          <w:rFonts w:ascii="InterFace" w:eastAsia="Times New Roman" w:hAnsi="InterFace" w:cs="InterFace"/>
          <w:b/>
          <w:bCs/>
          <w:color w:val="575756"/>
          <w:sz w:val="19"/>
          <w:szCs w:val="19"/>
          <w:lang w:val="en-US"/>
        </w:rPr>
        <w:t>We would be grateful if you could provide us with the appropriate clinic letter by return.</w:t>
      </w:r>
    </w:p>
    <w:p w:rsidR="00A43333" w:rsidRPr="00A43333" w:rsidRDefault="00A43333" w:rsidP="00A43333">
      <w:pPr>
        <w:widowControl w:val="0"/>
        <w:spacing w:before="9" w:after="0" w:line="240" w:lineRule="auto"/>
        <w:rPr>
          <w:rFonts w:ascii="InterFace" w:eastAsia="Times New Roman" w:hAnsi="InterFace" w:cs="InterFace"/>
          <w:b/>
          <w:sz w:val="21"/>
          <w:szCs w:val="19"/>
          <w:lang w:val="en-US"/>
        </w:rPr>
      </w:pPr>
    </w:p>
    <w:p w:rsidR="00A43333" w:rsidRPr="00A43333" w:rsidRDefault="00A43333" w:rsidP="00A43333">
      <w:pPr>
        <w:widowControl w:val="0"/>
        <w:spacing w:after="0" w:line="256"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While we appreciate that these contractual requirements are fairly new and may take some time to embed, we ask that you please act swiftly to implement these contractual obligations into your systems.</w:t>
      </w:r>
    </w:p>
    <w:p w:rsidR="00A43333" w:rsidRPr="00A43333" w:rsidRDefault="00A43333" w:rsidP="00A43333">
      <w:pPr>
        <w:widowControl w:val="0"/>
        <w:spacing w:before="5" w:after="0" w:line="240" w:lineRule="auto"/>
        <w:rPr>
          <w:rFonts w:ascii="InterFace" w:eastAsia="Times New Roman" w:hAnsi="InterFace" w:cs="InterFace"/>
          <w:sz w:val="20"/>
          <w:szCs w:val="19"/>
          <w:lang w:val="en-US"/>
        </w:rPr>
      </w:pPr>
    </w:p>
    <w:p w:rsidR="00A43333" w:rsidRPr="00A43333" w:rsidRDefault="00A43333" w:rsidP="00A43333">
      <w:pPr>
        <w:widowControl w:val="0"/>
        <w:spacing w:after="0" w:line="256" w:lineRule="auto"/>
        <w:ind w:left="1194" w:right="1429"/>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We have notified [insert] CCG as the commissioner of this breach in view of their responsibility to ensure delivery of the standard hospital contract.</w:t>
      </w:r>
    </w:p>
    <w:p w:rsidR="00A43333" w:rsidRPr="00A43333" w:rsidRDefault="00A43333" w:rsidP="00A43333">
      <w:pPr>
        <w:widowControl w:val="0"/>
        <w:spacing w:before="5" w:after="0" w:line="240" w:lineRule="auto"/>
        <w:rPr>
          <w:rFonts w:ascii="InterFace" w:eastAsia="Times New Roman" w:hAnsi="InterFace" w:cs="InterFace"/>
          <w:sz w:val="20"/>
          <w:szCs w:val="19"/>
          <w:lang w:val="en-US"/>
        </w:rPr>
      </w:pPr>
    </w:p>
    <w:p w:rsidR="00A43333" w:rsidRPr="00A43333" w:rsidRDefault="00A43333" w:rsidP="00A43333">
      <w:pPr>
        <w:widowControl w:val="0"/>
        <w:spacing w:after="0" w:line="240" w:lineRule="auto"/>
        <w:ind w:left="1194" w:right="1232"/>
        <w:rPr>
          <w:rFonts w:ascii="InterFace" w:eastAsia="Times New Roman" w:hAnsi="InterFace" w:cs="InterFace"/>
          <w:sz w:val="19"/>
          <w:szCs w:val="19"/>
          <w:lang w:val="en-US"/>
        </w:rPr>
      </w:pPr>
      <w:r w:rsidRPr="00A43333">
        <w:rPr>
          <w:rFonts w:ascii="InterFace" w:eastAsia="Times New Roman" w:hAnsi="InterFace" w:cs="InterFace"/>
          <w:color w:val="575756"/>
          <w:sz w:val="19"/>
          <w:szCs w:val="19"/>
          <w:lang w:val="en-US"/>
        </w:rPr>
        <w:t>Yours faithfully,</w:t>
      </w:r>
    </w:p>
    <w:p w:rsidR="001672A8" w:rsidRDefault="00A43333">
      <w:bookmarkStart w:id="0" w:name="_GoBack"/>
      <w:bookmarkEnd w:id="0"/>
    </w:p>
    <w:sectPr w:rsidR="001672A8" w:rsidSect="00A32B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3"/>
    <w:rsid w:val="005C2E3D"/>
    <w:rsid w:val="00A43333"/>
    <w:rsid w:val="00F6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504DE-5B3B-48F2-B311-CC125DC8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A43333"/>
    <w:pPr>
      <w:widowControl w:val="0"/>
      <w:spacing w:after="0" w:line="240" w:lineRule="auto"/>
      <w:ind w:left="1194" w:right="1232"/>
      <w:outlineLvl w:val="1"/>
    </w:pPr>
    <w:rPr>
      <w:rFonts w:ascii="InterFace" w:eastAsia="Times New Roman" w:hAnsi="InterFace" w:cs="InterFac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3333"/>
    <w:rPr>
      <w:rFonts w:ascii="InterFace" w:eastAsia="Times New Roman" w:hAnsi="InterFace" w:cs="InterFace"/>
      <w:b/>
      <w:bCs/>
      <w:sz w:val="19"/>
      <w:szCs w:val="19"/>
      <w:lang w:val="en-US"/>
    </w:rPr>
  </w:style>
  <w:style w:type="paragraph" w:styleId="BodyText">
    <w:name w:val="Body Text"/>
    <w:basedOn w:val="Normal"/>
    <w:link w:val="BodyTextChar"/>
    <w:uiPriority w:val="1"/>
    <w:qFormat/>
    <w:rsid w:val="00A43333"/>
    <w:pPr>
      <w:widowControl w:val="0"/>
      <w:spacing w:after="0" w:line="240" w:lineRule="auto"/>
    </w:pPr>
    <w:rPr>
      <w:rFonts w:ascii="InterFace" w:eastAsia="Times New Roman" w:hAnsi="InterFace" w:cs="InterFace"/>
      <w:sz w:val="19"/>
      <w:szCs w:val="19"/>
      <w:lang w:val="en-US"/>
    </w:rPr>
  </w:style>
  <w:style w:type="character" w:customStyle="1" w:styleId="BodyTextChar">
    <w:name w:val="Body Text Char"/>
    <w:basedOn w:val="DefaultParagraphFont"/>
    <w:link w:val="BodyText"/>
    <w:uiPriority w:val="1"/>
    <w:rsid w:val="00A43333"/>
    <w:rPr>
      <w:rFonts w:ascii="InterFace" w:eastAsia="Times New Roman" w:hAnsi="InterFace" w:cs="InterFace"/>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wp-content/uploads/2016/07/letter-contract-requirements.pdf" TargetMode="External"/><Relationship Id="rId4" Type="http://schemas.openxmlformats.org/officeDocument/2006/relationships/hyperlink" Target="https://www.england.nhs.uk/wp-content/uploads/2016/04/2-nhs-contrct-tech-guid-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1</cp:revision>
  <dcterms:created xsi:type="dcterms:W3CDTF">2016-09-13T08:22:00Z</dcterms:created>
  <dcterms:modified xsi:type="dcterms:W3CDTF">2016-09-13T08:22:00Z</dcterms:modified>
</cp:coreProperties>
</file>