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F7" w:rsidRPr="00275AF7" w:rsidRDefault="00275AF7" w:rsidP="00275AF7">
      <w:pPr>
        <w:widowControl w:val="0"/>
        <w:spacing w:after="0" w:line="240" w:lineRule="auto"/>
        <w:ind w:left="1194" w:right="1232"/>
        <w:outlineLvl w:val="1"/>
        <w:rPr>
          <w:rFonts w:ascii="InterFace" w:eastAsia="Times New Roman" w:hAnsi="InterFace" w:cs="InterFace"/>
          <w:b/>
          <w:bCs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b/>
          <w:bCs/>
          <w:color w:val="575756"/>
          <w:sz w:val="19"/>
          <w:szCs w:val="19"/>
          <w:lang w:val="en-US"/>
        </w:rPr>
        <w:t>Template response for follow-up of results and investigations</w:t>
      </w:r>
    </w:p>
    <w:p w:rsidR="00275AF7" w:rsidRPr="00275AF7" w:rsidRDefault="00275AF7" w:rsidP="00275AF7">
      <w:pPr>
        <w:widowControl w:val="0"/>
        <w:spacing w:after="0" w:line="240" w:lineRule="auto"/>
        <w:rPr>
          <w:rFonts w:ascii="InterFace" w:eastAsia="Times New Roman" w:hAnsi="InterFace" w:cs="InterFace"/>
          <w:b/>
          <w:sz w:val="18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40" w:lineRule="auto"/>
        <w:rPr>
          <w:rFonts w:ascii="InterFace" w:eastAsia="Times New Roman" w:hAnsi="InterFace" w:cs="InterFace"/>
          <w:b/>
          <w:sz w:val="18"/>
          <w:szCs w:val="19"/>
          <w:lang w:val="en-US"/>
        </w:rPr>
      </w:pPr>
    </w:p>
    <w:p w:rsidR="00275AF7" w:rsidRPr="00275AF7" w:rsidRDefault="00275AF7" w:rsidP="00275AF7">
      <w:pPr>
        <w:widowControl w:val="0"/>
        <w:spacing w:before="7" w:after="0" w:line="240" w:lineRule="auto"/>
        <w:rPr>
          <w:rFonts w:ascii="InterFace" w:eastAsia="Times New Roman" w:hAnsi="InterFace" w:cs="InterFace"/>
          <w:b/>
          <w:sz w:val="26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Dear x</w:t>
      </w:r>
    </w:p>
    <w:p w:rsidR="00275AF7" w:rsidRPr="00275AF7" w:rsidRDefault="00275AF7" w:rsidP="00275AF7">
      <w:pPr>
        <w:widowControl w:val="0"/>
        <w:spacing w:before="9" w:after="0" w:line="240" w:lineRule="auto"/>
        <w:rPr>
          <w:rFonts w:ascii="InterFace" w:eastAsia="Times New Roman" w:hAnsi="InterFace" w:cs="InterFace"/>
          <w:sz w:val="21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Re: &lt;&lt;Patient Identifier Label&gt;&gt;</w:t>
      </w:r>
    </w:p>
    <w:p w:rsidR="00275AF7" w:rsidRPr="00275AF7" w:rsidRDefault="00275AF7" w:rsidP="00275AF7">
      <w:pPr>
        <w:widowControl w:val="0"/>
        <w:spacing w:before="9" w:after="0" w:line="240" w:lineRule="auto"/>
        <w:rPr>
          <w:rFonts w:ascii="InterFace" w:eastAsia="Times New Roman" w:hAnsi="InterFace" w:cs="InterFace"/>
          <w:sz w:val="21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56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We write in response to your letter regarding the above patient requesting that we chase up the results of [insert type of investigations] undertaken by your department.</w:t>
      </w:r>
    </w:p>
    <w:p w:rsidR="00275AF7" w:rsidRPr="00275AF7" w:rsidRDefault="00275AF7" w:rsidP="00275AF7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A copy of your request is enclosed.</w:t>
      </w:r>
    </w:p>
    <w:p w:rsidR="00275AF7" w:rsidRPr="00275AF7" w:rsidRDefault="00275AF7" w:rsidP="00275AF7">
      <w:pPr>
        <w:widowControl w:val="0"/>
        <w:spacing w:before="9" w:after="0" w:line="240" w:lineRule="auto"/>
        <w:rPr>
          <w:rFonts w:ascii="InterFace" w:eastAsia="Times New Roman" w:hAnsi="InterFace" w:cs="InterFace"/>
          <w:sz w:val="21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56" w:lineRule="auto"/>
        <w:ind w:left="1194" w:right="1429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This is in breach of the </w:t>
      </w:r>
      <w:hyperlink r:id="rId4">
        <w:r w:rsidRPr="00275AF7">
          <w:rPr>
            <w:rFonts w:ascii="InterFace" w:eastAsia="Times New Roman" w:hAnsi="InterFace" w:cs="InterFace"/>
            <w:color w:val="0067B1"/>
            <w:sz w:val="19"/>
            <w:szCs w:val="19"/>
            <w:u w:val="single" w:color="0067B1"/>
            <w:lang w:val="en-US"/>
          </w:rPr>
          <w:t xml:space="preserve">new standard hospital contract </w:t>
        </w:r>
      </w:hyperlink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which came into force on 1 April 2016, with new requirements to reduce inappropriate bureaucratic workload shift onto GP practices.</w:t>
      </w:r>
    </w:p>
    <w:p w:rsidR="00275AF7" w:rsidRPr="00275AF7" w:rsidRDefault="00275AF7" w:rsidP="00275AF7">
      <w:pPr>
        <w:widowControl w:val="0"/>
        <w:spacing w:before="8" w:after="0" w:line="240" w:lineRule="auto"/>
        <w:rPr>
          <w:rFonts w:ascii="InterFace" w:eastAsia="Times New Roman" w:hAnsi="InterFace" w:cs="InterFace"/>
          <w:sz w:val="23"/>
          <w:szCs w:val="19"/>
          <w:lang w:val="en-US"/>
        </w:rPr>
      </w:pPr>
      <w:r w:rsidRPr="00275AF7">
        <w:rPr>
          <w:rFonts w:ascii="InterFace" w:eastAsia="Times New Roman" w:hAnsi="InterFace" w:cs="InterFace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192405</wp:posOffset>
                </wp:positionV>
                <wp:extent cx="4644390" cy="685800"/>
                <wp:effectExtent l="0" t="1905" r="4445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685800"/>
                        </a:xfrm>
                        <a:prstGeom prst="rect">
                          <a:avLst/>
                        </a:prstGeom>
                        <a:solidFill>
                          <a:srgbClr val="D3E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F7" w:rsidRDefault="00275AF7" w:rsidP="00275AF7">
                            <w:pPr>
                              <w:pStyle w:val="BodyText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275AF7" w:rsidRDefault="00275AF7" w:rsidP="00275AF7">
                            <w:pPr>
                              <w:spacing w:line="256" w:lineRule="auto"/>
                              <w:ind w:left="170" w:right="425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z w:val="19"/>
                              </w:rPr>
                              <w:t>Contract reference SC12 places a requirement for hospitals to notify patients of the results of clinical investigations and treatments in an appropriate and cost- effective manner, for example, telephoning the patient.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7pt;margin-top:15.15pt;width:365.7pt;height:5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" fillcolor="#d3e9fa" stroked="f">
                <v:textbox inset="0,0,0,0">
                  <w:txbxContent>
                    <w:p w:rsidR="00275AF7" w:rsidRDefault="00275AF7" w:rsidP="00275AF7">
                      <w:pPr>
                        <w:pStyle w:val="BodyText"/>
                        <w:spacing w:before="1"/>
                        <w:rPr>
                          <w:sz w:val="15"/>
                        </w:rPr>
                      </w:pPr>
                    </w:p>
                    <w:p w:rsidR="00275AF7" w:rsidRDefault="00275AF7" w:rsidP="00275AF7">
                      <w:pPr>
                        <w:spacing w:line="256" w:lineRule="auto"/>
                        <w:ind w:left="170" w:right="425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575756"/>
                          <w:sz w:val="19"/>
                        </w:rPr>
                        <w:t>Contract reference SC12 places a requirement for hospitals to notify patients of the results of clinical investigations and treatments in an appropriate and cost- effective manner, for example, telephoning the patient.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5AF7" w:rsidRPr="00275AF7" w:rsidRDefault="00275AF7" w:rsidP="00275AF7">
      <w:pPr>
        <w:widowControl w:val="0"/>
        <w:spacing w:before="9" w:after="0" w:line="240" w:lineRule="auto"/>
        <w:rPr>
          <w:rFonts w:ascii="InterFace" w:eastAsia="Times New Roman" w:hAnsi="InterFace" w:cs="InterFace"/>
          <w:sz w:val="17"/>
          <w:szCs w:val="19"/>
          <w:lang w:val="en-US"/>
        </w:rPr>
      </w:pPr>
    </w:p>
    <w:p w:rsidR="00275AF7" w:rsidRPr="00275AF7" w:rsidRDefault="00275AF7" w:rsidP="00275AF7">
      <w:pPr>
        <w:widowControl w:val="0"/>
        <w:spacing w:before="73"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 xml:space="preserve">This was reiterated in a recent letter from </w:t>
      </w:r>
      <w:hyperlink r:id="rId5">
        <w:r w:rsidRPr="00275AF7">
          <w:rPr>
            <w:rFonts w:ascii="InterFace" w:eastAsia="Times New Roman" w:hAnsi="InterFace" w:cs="InterFace"/>
            <w:color w:val="0067B1"/>
            <w:sz w:val="19"/>
            <w:szCs w:val="19"/>
            <w:u w:val="single" w:color="0067B1"/>
            <w:lang w:val="en-US"/>
          </w:rPr>
          <w:t xml:space="preserve">NHS England </w:t>
        </w:r>
      </w:hyperlink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to all Trusts.</w:t>
      </w:r>
    </w:p>
    <w:p w:rsidR="00275AF7" w:rsidRPr="00275AF7" w:rsidRDefault="00275AF7" w:rsidP="00275AF7">
      <w:pPr>
        <w:widowControl w:val="0"/>
        <w:spacing w:before="9" w:after="0" w:line="240" w:lineRule="auto"/>
        <w:rPr>
          <w:rFonts w:ascii="InterFace" w:eastAsia="Times New Roman" w:hAnsi="InterFace" w:cs="InterFace"/>
          <w:sz w:val="21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56" w:lineRule="auto"/>
        <w:ind w:left="1194" w:right="1232"/>
        <w:rPr>
          <w:rFonts w:ascii="InterFace" w:eastAsia="Times New Roman" w:hAnsi="InterFace" w:cs="InterFace"/>
          <w:b/>
          <w:sz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lang w:val="en-US"/>
        </w:rPr>
        <w:t xml:space="preserve">The result of this investigation will automatically be sent to you or your department as the requesting clinician. </w:t>
      </w:r>
      <w:r w:rsidRPr="00275AF7">
        <w:rPr>
          <w:rFonts w:ascii="InterFace" w:eastAsia="Times New Roman" w:hAnsi="InterFace" w:cs="InterFace"/>
          <w:b/>
          <w:color w:val="575756"/>
          <w:sz w:val="19"/>
          <w:lang w:val="en-US"/>
        </w:rPr>
        <w:t>We would therefore request that you follow up the result and take any appropriate action, including contacting the patient if necessary.</w:t>
      </w:r>
    </w:p>
    <w:p w:rsidR="00275AF7" w:rsidRPr="00275AF7" w:rsidRDefault="00275AF7" w:rsidP="00275AF7">
      <w:pPr>
        <w:widowControl w:val="0"/>
        <w:spacing w:before="5" w:after="0" w:line="240" w:lineRule="auto"/>
        <w:rPr>
          <w:rFonts w:ascii="InterFace" w:eastAsia="Times New Roman" w:hAnsi="InterFace" w:cs="InterFace"/>
          <w:b/>
          <w:sz w:val="20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56" w:lineRule="auto"/>
        <w:ind w:left="1194" w:right="1626"/>
        <w:jc w:val="both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This is also in keeping with GMC guidance which states that it is the responsibility of the doctor requesting a test to take clinical responsibility to follow up and take appropriate action on the result.</w:t>
      </w:r>
    </w:p>
    <w:p w:rsidR="00275AF7" w:rsidRPr="00275AF7" w:rsidRDefault="00275AF7" w:rsidP="00275AF7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56" w:lineRule="auto"/>
        <w:ind w:left="1194" w:right="1232"/>
        <w:outlineLvl w:val="1"/>
        <w:rPr>
          <w:rFonts w:ascii="InterFace" w:eastAsia="Times New Roman" w:hAnsi="InterFace" w:cs="InterFace"/>
          <w:b/>
          <w:bCs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b/>
          <w:bCs/>
          <w:color w:val="575756"/>
          <w:sz w:val="19"/>
          <w:szCs w:val="19"/>
          <w:lang w:val="en-US"/>
        </w:rPr>
        <w:t>We will be proceeding on the assumption that you will be taking responsibility for reviewing and taking any action on the above investigation result(s).</w:t>
      </w:r>
    </w:p>
    <w:p w:rsidR="00275AF7" w:rsidRPr="00275AF7" w:rsidRDefault="00275AF7" w:rsidP="00275AF7">
      <w:pPr>
        <w:widowControl w:val="0"/>
        <w:spacing w:before="5" w:after="0" w:line="240" w:lineRule="auto"/>
        <w:rPr>
          <w:rFonts w:ascii="InterFace" w:eastAsia="Times New Roman" w:hAnsi="InterFace" w:cs="InterFace"/>
          <w:b/>
          <w:sz w:val="20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56" w:lineRule="auto"/>
        <w:ind w:left="1194" w:right="1160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We are also informing [please insert as appropriate] CCG of this breach given their responsibility as a commissioner to ensure implementation of the hospital standard   contract</w:t>
      </w:r>
    </w:p>
    <w:p w:rsidR="00275AF7" w:rsidRPr="00275AF7" w:rsidRDefault="00275AF7" w:rsidP="00275AF7">
      <w:pPr>
        <w:widowControl w:val="0"/>
        <w:spacing w:before="5" w:after="0" w:line="240" w:lineRule="auto"/>
        <w:rPr>
          <w:rFonts w:ascii="InterFace" w:eastAsia="Times New Roman" w:hAnsi="InterFace" w:cs="InterFace"/>
          <w:sz w:val="20"/>
          <w:szCs w:val="19"/>
          <w:lang w:val="en-US"/>
        </w:rPr>
      </w:pPr>
    </w:p>
    <w:p w:rsidR="00275AF7" w:rsidRPr="00275AF7" w:rsidRDefault="00275AF7" w:rsidP="00275AF7">
      <w:pPr>
        <w:widowControl w:val="0"/>
        <w:spacing w:after="0" w:line="240" w:lineRule="auto"/>
        <w:ind w:left="1194" w:right="1232"/>
        <w:rPr>
          <w:rFonts w:ascii="InterFace" w:eastAsia="Times New Roman" w:hAnsi="InterFace" w:cs="InterFace"/>
          <w:sz w:val="19"/>
          <w:szCs w:val="19"/>
          <w:lang w:val="en-US"/>
        </w:rPr>
      </w:pPr>
      <w:r w:rsidRPr="00275AF7">
        <w:rPr>
          <w:rFonts w:ascii="InterFace" w:eastAsia="Times New Roman" w:hAnsi="InterFace" w:cs="InterFace"/>
          <w:color w:val="575756"/>
          <w:sz w:val="19"/>
          <w:szCs w:val="19"/>
          <w:lang w:val="en-US"/>
        </w:rPr>
        <w:t>Yours faithfully,</w:t>
      </w:r>
    </w:p>
    <w:p w:rsidR="001672A8" w:rsidRDefault="00275AF7">
      <w:bookmarkStart w:id="0" w:name="_GoBack"/>
      <w:bookmarkEnd w:id="0"/>
    </w:p>
    <w:sectPr w:rsidR="001672A8" w:rsidSect="006B1D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7"/>
    <w:rsid w:val="00275AF7"/>
    <w:rsid w:val="005C2E3D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D200A-6829-4A51-9BD8-81203D96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75AF7"/>
    <w:pPr>
      <w:widowControl w:val="0"/>
      <w:spacing w:after="0" w:line="240" w:lineRule="auto"/>
      <w:ind w:left="1194" w:right="1232"/>
      <w:outlineLvl w:val="1"/>
    </w:pPr>
    <w:rPr>
      <w:rFonts w:ascii="InterFace" w:eastAsia="Times New Roman" w:hAnsi="InterFace" w:cs="InterFace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5AF7"/>
    <w:rPr>
      <w:rFonts w:ascii="InterFace" w:eastAsia="Times New Roman" w:hAnsi="InterFace" w:cs="InterFace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75AF7"/>
    <w:pPr>
      <w:widowControl w:val="0"/>
      <w:spacing w:after="0" w:line="240" w:lineRule="auto"/>
    </w:pPr>
    <w:rPr>
      <w:rFonts w:ascii="InterFace" w:eastAsia="Times New Roman" w:hAnsi="InterFace" w:cs="InterFace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5AF7"/>
    <w:rPr>
      <w:rFonts w:ascii="InterFace" w:eastAsia="Times New Roman" w:hAnsi="InterFace" w:cs="InterFace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wp-content/uploads/2016/07/letter-contract-requirements.pdf" TargetMode="External"/><Relationship Id="rId4" Type="http://schemas.openxmlformats.org/officeDocument/2006/relationships/hyperlink" Target="https://www.england.nhs.uk/wp-content/uploads/2016/04/2-nhs-contrct-tech-guid-16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Eggitt</dc:creator>
  <cp:keywords/>
  <dc:description/>
  <cp:lastModifiedBy>Dean Eggitt</cp:lastModifiedBy>
  <cp:revision>1</cp:revision>
  <dcterms:created xsi:type="dcterms:W3CDTF">2016-09-13T08:24:00Z</dcterms:created>
  <dcterms:modified xsi:type="dcterms:W3CDTF">2016-09-13T08:25:00Z</dcterms:modified>
</cp:coreProperties>
</file>