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D35" w:rsidRPr="001E5D35" w:rsidRDefault="001E5D35" w:rsidP="001E5D35">
      <w:pPr>
        <w:widowControl w:val="0"/>
        <w:spacing w:after="0" w:line="240" w:lineRule="auto"/>
        <w:ind w:left="1194" w:right="1232"/>
        <w:outlineLvl w:val="1"/>
        <w:rPr>
          <w:rFonts w:ascii="InterFace" w:eastAsia="Times New Roman" w:hAnsi="InterFace" w:cs="InterFace"/>
          <w:b/>
          <w:bCs/>
          <w:sz w:val="19"/>
          <w:szCs w:val="19"/>
          <w:lang w:val="en-US"/>
        </w:rPr>
      </w:pPr>
      <w:r w:rsidRPr="001E5D35">
        <w:rPr>
          <w:rFonts w:ascii="InterFace" w:eastAsia="Times New Roman" w:hAnsi="InterFace" w:cs="InterFace"/>
          <w:b/>
          <w:bCs/>
          <w:color w:val="575756"/>
          <w:sz w:val="19"/>
          <w:szCs w:val="19"/>
          <w:lang w:val="en-US"/>
        </w:rPr>
        <w:t>Template response for onward referral</w:t>
      </w:r>
    </w:p>
    <w:p w:rsidR="001E5D35" w:rsidRPr="001E5D35" w:rsidRDefault="001E5D35" w:rsidP="001E5D35">
      <w:pPr>
        <w:widowControl w:val="0"/>
        <w:spacing w:after="0" w:line="240" w:lineRule="auto"/>
        <w:rPr>
          <w:rFonts w:ascii="InterFace" w:eastAsia="Times New Roman" w:hAnsi="InterFace" w:cs="InterFace"/>
          <w:b/>
          <w:sz w:val="18"/>
          <w:szCs w:val="19"/>
          <w:lang w:val="en-US"/>
        </w:rPr>
      </w:pPr>
    </w:p>
    <w:p w:rsidR="001E5D35" w:rsidRPr="001E5D35" w:rsidRDefault="001E5D35" w:rsidP="001E5D35">
      <w:pPr>
        <w:widowControl w:val="0"/>
        <w:spacing w:after="0" w:line="240" w:lineRule="auto"/>
        <w:rPr>
          <w:rFonts w:ascii="InterFace" w:eastAsia="Times New Roman" w:hAnsi="InterFace" w:cs="InterFace"/>
          <w:b/>
          <w:sz w:val="18"/>
          <w:szCs w:val="19"/>
          <w:lang w:val="en-US"/>
        </w:rPr>
      </w:pPr>
    </w:p>
    <w:p w:rsidR="001E5D35" w:rsidRPr="001E5D35" w:rsidRDefault="001E5D35" w:rsidP="001E5D35">
      <w:pPr>
        <w:widowControl w:val="0"/>
        <w:spacing w:before="7" w:after="0" w:line="240" w:lineRule="auto"/>
        <w:rPr>
          <w:rFonts w:ascii="InterFace" w:eastAsia="Times New Roman" w:hAnsi="InterFace" w:cs="InterFace"/>
          <w:b/>
          <w:sz w:val="26"/>
          <w:szCs w:val="19"/>
          <w:lang w:val="en-US"/>
        </w:rPr>
      </w:pPr>
    </w:p>
    <w:p w:rsidR="001E5D35" w:rsidRPr="001E5D35" w:rsidRDefault="001E5D35" w:rsidP="001E5D35">
      <w:pPr>
        <w:widowControl w:val="0"/>
        <w:spacing w:after="0" w:line="240" w:lineRule="auto"/>
        <w:ind w:left="1194" w:right="1232"/>
        <w:rPr>
          <w:rFonts w:ascii="InterFace" w:eastAsia="Times New Roman" w:hAnsi="InterFace" w:cs="InterFace"/>
          <w:sz w:val="19"/>
          <w:szCs w:val="19"/>
          <w:lang w:val="en-US"/>
        </w:rPr>
      </w:pPr>
      <w:r w:rsidRPr="001E5D35">
        <w:rPr>
          <w:rFonts w:ascii="InterFace" w:eastAsia="Times New Roman" w:hAnsi="InterFace" w:cs="InterFace"/>
          <w:color w:val="575756"/>
          <w:sz w:val="19"/>
          <w:szCs w:val="19"/>
          <w:lang w:val="en-US"/>
        </w:rPr>
        <w:t>Dear x</w:t>
      </w:r>
    </w:p>
    <w:p w:rsidR="001E5D35" w:rsidRPr="001E5D35" w:rsidRDefault="001E5D35" w:rsidP="001E5D35">
      <w:pPr>
        <w:widowControl w:val="0"/>
        <w:spacing w:before="9" w:after="0" w:line="240" w:lineRule="auto"/>
        <w:rPr>
          <w:rFonts w:ascii="InterFace" w:eastAsia="Times New Roman" w:hAnsi="InterFace" w:cs="InterFace"/>
          <w:sz w:val="21"/>
          <w:szCs w:val="19"/>
          <w:lang w:val="en-US"/>
        </w:rPr>
      </w:pPr>
    </w:p>
    <w:p w:rsidR="001E5D35" w:rsidRPr="001E5D35" w:rsidRDefault="001E5D35" w:rsidP="001E5D35">
      <w:pPr>
        <w:widowControl w:val="0"/>
        <w:spacing w:after="0" w:line="240" w:lineRule="auto"/>
        <w:ind w:left="1194" w:right="1232"/>
        <w:rPr>
          <w:rFonts w:ascii="InterFace" w:eastAsia="Times New Roman" w:hAnsi="InterFace" w:cs="InterFace"/>
          <w:sz w:val="19"/>
          <w:szCs w:val="19"/>
          <w:lang w:val="en-US"/>
        </w:rPr>
      </w:pPr>
      <w:r w:rsidRPr="001E5D35">
        <w:rPr>
          <w:rFonts w:ascii="InterFace" w:eastAsia="Times New Roman" w:hAnsi="InterFace" w:cs="InterFace"/>
          <w:color w:val="575756"/>
          <w:sz w:val="19"/>
          <w:szCs w:val="19"/>
          <w:lang w:val="en-US"/>
        </w:rPr>
        <w:t>Re: &lt;&lt;Patient Identifier Label&gt;&gt;</w:t>
      </w:r>
    </w:p>
    <w:p w:rsidR="001E5D35" w:rsidRPr="001E5D35" w:rsidRDefault="001E5D35" w:rsidP="001E5D35">
      <w:pPr>
        <w:widowControl w:val="0"/>
        <w:spacing w:before="9" w:after="0" w:line="240" w:lineRule="auto"/>
        <w:rPr>
          <w:rFonts w:ascii="InterFace" w:eastAsia="Times New Roman" w:hAnsi="InterFace" w:cs="InterFace"/>
          <w:sz w:val="21"/>
          <w:szCs w:val="19"/>
          <w:lang w:val="en-US"/>
        </w:rPr>
      </w:pPr>
    </w:p>
    <w:p w:rsidR="001E5D35" w:rsidRPr="001E5D35" w:rsidRDefault="001E5D35" w:rsidP="001E5D35">
      <w:pPr>
        <w:widowControl w:val="0"/>
        <w:spacing w:after="0" w:line="256" w:lineRule="auto"/>
        <w:ind w:left="1194" w:right="1232"/>
        <w:rPr>
          <w:rFonts w:ascii="InterFace" w:eastAsia="Times New Roman" w:hAnsi="InterFace" w:cs="InterFace"/>
          <w:sz w:val="19"/>
          <w:szCs w:val="19"/>
          <w:lang w:val="en-US"/>
        </w:rPr>
      </w:pPr>
      <w:r w:rsidRPr="001E5D35">
        <w:rPr>
          <w:rFonts w:ascii="InterFace" w:eastAsia="Times New Roman" w:hAnsi="InterFace" w:cs="InterFace"/>
          <w:color w:val="575756"/>
          <w:sz w:val="19"/>
          <w:szCs w:val="19"/>
          <w:lang w:val="en-US"/>
        </w:rPr>
        <w:t>We write with reference to your request to make an onward referral regarding the above patient to [insert work requested].</w:t>
      </w:r>
    </w:p>
    <w:p w:rsidR="001E5D35" w:rsidRPr="001E5D35" w:rsidRDefault="001E5D35" w:rsidP="001E5D35">
      <w:pPr>
        <w:widowControl w:val="0"/>
        <w:spacing w:before="5" w:after="0" w:line="240" w:lineRule="auto"/>
        <w:rPr>
          <w:rFonts w:ascii="InterFace" w:eastAsia="Times New Roman" w:hAnsi="InterFace" w:cs="InterFace"/>
          <w:sz w:val="20"/>
          <w:szCs w:val="19"/>
          <w:lang w:val="en-US"/>
        </w:rPr>
      </w:pPr>
    </w:p>
    <w:p w:rsidR="001E5D35" w:rsidRPr="001E5D35" w:rsidRDefault="001E5D35" w:rsidP="001E5D35">
      <w:pPr>
        <w:widowControl w:val="0"/>
        <w:spacing w:after="0" w:line="256" w:lineRule="auto"/>
        <w:ind w:left="1194" w:right="1232"/>
        <w:rPr>
          <w:rFonts w:ascii="InterFace" w:eastAsia="Times New Roman" w:hAnsi="InterFace" w:cs="InterFace"/>
          <w:sz w:val="19"/>
          <w:szCs w:val="19"/>
          <w:lang w:val="en-US"/>
        </w:rPr>
      </w:pPr>
      <w:r w:rsidRPr="001E5D35">
        <w:rPr>
          <w:rFonts w:ascii="InterFace" w:eastAsia="Times New Roman" w:hAnsi="InterFace" w:cs="InterFace"/>
          <w:color w:val="575756"/>
          <w:sz w:val="19"/>
          <w:szCs w:val="19"/>
          <w:lang w:val="en-US"/>
        </w:rPr>
        <w:t xml:space="preserve">You will be aware that </w:t>
      </w:r>
      <w:hyperlink r:id="rId4">
        <w:r w:rsidRPr="001E5D35">
          <w:rPr>
            <w:rFonts w:ascii="InterFace" w:eastAsia="Times New Roman" w:hAnsi="InterFace" w:cs="InterFace"/>
            <w:color w:val="0067B1"/>
            <w:sz w:val="19"/>
            <w:szCs w:val="19"/>
            <w:u w:val="single" w:color="0067B1"/>
            <w:lang w:val="en-US"/>
          </w:rPr>
          <w:t xml:space="preserve">changes to the standard hospital contract </w:t>
        </w:r>
      </w:hyperlink>
      <w:r w:rsidRPr="001E5D35">
        <w:rPr>
          <w:rFonts w:ascii="InterFace" w:eastAsia="Times New Roman" w:hAnsi="InterFace" w:cs="InterFace"/>
          <w:color w:val="575756"/>
          <w:sz w:val="19"/>
          <w:szCs w:val="19"/>
          <w:lang w:val="en-US"/>
        </w:rPr>
        <w:t>came into force on 1 April 2016, with new requirements to reduce inappropriate bureaucratic workload shift onto GP practices. This permits hospital clinicians to make an onward referral to another professional for a related condition as follows:</w:t>
      </w:r>
    </w:p>
    <w:p w:rsidR="001E5D35" w:rsidRPr="001E5D35" w:rsidRDefault="001E5D35" w:rsidP="001E5D35">
      <w:pPr>
        <w:widowControl w:val="0"/>
        <w:spacing w:before="8" w:after="0" w:line="240" w:lineRule="auto"/>
        <w:rPr>
          <w:rFonts w:ascii="InterFace" w:eastAsia="Times New Roman" w:hAnsi="InterFace" w:cs="InterFace"/>
          <w:sz w:val="23"/>
          <w:szCs w:val="19"/>
          <w:lang w:val="en-US"/>
        </w:rPr>
      </w:pPr>
      <w:r w:rsidRPr="001E5D35">
        <w:rPr>
          <w:rFonts w:ascii="InterFace" w:eastAsia="Times New Roman" w:hAnsi="InterFace" w:cs="InterFace"/>
          <w:noProof/>
          <w:sz w:val="19"/>
          <w:szCs w:val="19"/>
          <w:lang w:eastAsia="en-GB"/>
        </w:rPr>
        <mc:AlternateContent>
          <mc:Choice Requires="wps">
            <w:drawing>
              <wp:anchor distT="0" distB="0" distL="0" distR="0" simplePos="0" relativeHeight="251659264" behindDoc="0" locked="0" layoutInCell="1" allowOverlap="1">
                <wp:simplePos x="0" y="0"/>
                <wp:positionH relativeFrom="page">
                  <wp:posOffset>1799590</wp:posOffset>
                </wp:positionH>
                <wp:positionV relativeFrom="paragraph">
                  <wp:posOffset>191770</wp:posOffset>
                </wp:positionV>
                <wp:extent cx="4644390" cy="1143000"/>
                <wp:effectExtent l="0" t="1270" r="444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1143000"/>
                        </a:xfrm>
                        <a:prstGeom prst="rect">
                          <a:avLst/>
                        </a:prstGeom>
                        <a:solidFill>
                          <a:srgbClr val="D3E9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D35" w:rsidRDefault="001E5D35" w:rsidP="001E5D35">
                            <w:pPr>
                              <w:pStyle w:val="BodyText"/>
                              <w:spacing w:before="1"/>
                              <w:rPr>
                                <w:sz w:val="15"/>
                              </w:rPr>
                            </w:pPr>
                          </w:p>
                          <w:p w:rsidR="001E5D35" w:rsidRDefault="001E5D35" w:rsidP="001E5D35">
                            <w:pPr>
                              <w:ind w:left="170"/>
                              <w:rPr>
                                <w:b/>
                                <w:sz w:val="19"/>
                              </w:rPr>
                            </w:pPr>
                            <w:r>
                              <w:rPr>
                                <w:b/>
                                <w:color w:val="575756"/>
                                <w:sz w:val="19"/>
                              </w:rPr>
                              <w:t>Contract reference SC8 specifies that unless a CCG requests otherwise, for a</w:t>
                            </w:r>
                          </w:p>
                          <w:p w:rsidR="001E5D35" w:rsidRDefault="001E5D35" w:rsidP="001E5D35">
                            <w:pPr>
                              <w:spacing w:before="16" w:line="256" w:lineRule="auto"/>
                              <w:ind w:left="170" w:right="350"/>
                              <w:rPr>
                                <w:b/>
                                <w:sz w:val="19"/>
                              </w:rPr>
                            </w:pPr>
                            <w:r>
                              <w:rPr>
                                <w:b/>
                                <w:color w:val="575756"/>
                                <w:sz w:val="19"/>
                              </w:rPr>
                              <w:t xml:space="preserve">non-urgent condition directly related to the complaint or condition which caused the original referral, onward referral to and treatment by another professional within the same provider is permitted, and there is no need to refer back to the </w:t>
                            </w:r>
                            <w:r>
                              <w:rPr>
                                <w:b/>
                                <w:color w:val="575756"/>
                                <w:spacing w:val="-3"/>
                                <w:sz w:val="19"/>
                              </w:rPr>
                              <w:t xml:space="preserve">GP. </w:t>
                            </w:r>
                            <w:r>
                              <w:rPr>
                                <w:b/>
                                <w:color w:val="575756"/>
                                <w:sz w:val="19"/>
                              </w:rPr>
                              <w:t xml:space="preserve">Re-referral for </w:t>
                            </w:r>
                            <w:r>
                              <w:rPr>
                                <w:b/>
                                <w:color w:val="575756"/>
                                <w:spacing w:val="2"/>
                                <w:sz w:val="19"/>
                              </w:rPr>
                              <w:t xml:space="preserve">GP </w:t>
                            </w:r>
                            <w:r>
                              <w:rPr>
                                <w:b/>
                                <w:color w:val="575756"/>
                                <w:sz w:val="19"/>
                              </w:rPr>
                              <w:t>approval is only required for onward referral of non-urgent, unrelated</w:t>
                            </w:r>
                            <w:r>
                              <w:rPr>
                                <w:b/>
                                <w:color w:val="575756"/>
                                <w:spacing w:val="23"/>
                                <w:sz w:val="19"/>
                              </w:rPr>
                              <w:t xml:space="preserve"> </w:t>
                            </w:r>
                            <w:r>
                              <w:rPr>
                                <w:b/>
                                <w:color w:val="575756"/>
                                <w:sz w:val="19"/>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1.7pt;margin-top:15.1pt;width:365.7pt;height:90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" fillcolor="#d3e9fa" stroked="f">
                <v:textbox inset="0,0,0,0">
                  <w:txbxContent>
                    <w:p w:rsidR="001E5D35" w:rsidRDefault="001E5D35" w:rsidP="001E5D35">
                      <w:pPr>
                        <w:pStyle w:val="BodyText"/>
                        <w:spacing w:before="1"/>
                        <w:rPr>
                          <w:sz w:val="15"/>
                        </w:rPr>
                      </w:pPr>
                    </w:p>
                    <w:p w:rsidR="001E5D35" w:rsidRDefault="001E5D35" w:rsidP="001E5D35">
                      <w:pPr>
                        <w:ind w:left="170"/>
                        <w:rPr>
                          <w:b/>
                          <w:sz w:val="19"/>
                        </w:rPr>
                      </w:pPr>
                      <w:r>
                        <w:rPr>
                          <w:b/>
                          <w:color w:val="575756"/>
                          <w:sz w:val="19"/>
                        </w:rPr>
                        <w:t>Contract reference SC8 specifies that unless a CCG requests otherwise, for a</w:t>
                      </w:r>
                    </w:p>
                    <w:p w:rsidR="001E5D35" w:rsidRDefault="001E5D35" w:rsidP="001E5D35">
                      <w:pPr>
                        <w:spacing w:before="16" w:line="256" w:lineRule="auto"/>
                        <w:ind w:left="170" w:right="350"/>
                        <w:rPr>
                          <w:b/>
                          <w:sz w:val="19"/>
                        </w:rPr>
                      </w:pPr>
                      <w:r>
                        <w:rPr>
                          <w:b/>
                          <w:color w:val="575756"/>
                          <w:sz w:val="19"/>
                        </w:rPr>
                        <w:t xml:space="preserve">non-urgent condition directly related to the complaint or condition which caused the original referral, onward referral to and treatment by another professional within the same provider is permitted, and there is no need to refer back to the </w:t>
                      </w:r>
                      <w:r>
                        <w:rPr>
                          <w:b/>
                          <w:color w:val="575756"/>
                          <w:spacing w:val="-3"/>
                          <w:sz w:val="19"/>
                        </w:rPr>
                        <w:t xml:space="preserve">GP. </w:t>
                      </w:r>
                      <w:r>
                        <w:rPr>
                          <w:b/>
                          <w:color w:val="575756"/>
                          <w:sz w:val="19"/>
                        </w:rPr>
                        <w:t xml:space="preserve">Re-referral for </w:t>
                      </w:r>
                      <w:r>
                        <w:rPr>
                          <w:b/>
                          <w:color w:val="575756"/>
                          <w:spacing w:val="2"/>
                          <w:sz w:val="19"/>
                        </w:rPr>
                        <w:t xml:space="preserve">GP </w:t>
                      </w:r>
                      <w:r>
                        <w:rPr>
                          <w:b/>
                          <w:color w:val="575756"/>
                          <w:sz w:val="19"/>
                        </w:rPr>
                        <w:t>approval is only required for onward referral of non-urgent, unrelated</w:t>
                      </w:r>
                      <w:r>
                        <w:rPr>
                          <w:b/>
                          <w:color w:val="575756"/>
                          <w:spacing w:val="23"/>
                          <w:sz w:val="19"/>
                        </w:rPr>
                        <w:t xml:space="preserve"> </w:t>
                      </w:r>
                      <w:r>
                        <w:rPr>
                          <w:b/>
                          <w:color w:val="575756"/>
                          <w:sz w:val="19"/>
                        </w:rPr>
                        <w:t>conditions.</w:t>
                      </w:r>
                    </w:p>
                  </w:txbxContent>
                </v:textbox>
                <w10:wrap type="topAndBottom" anchorx="page"/>
              </v:shape>
            </w:pict>
          </mc:Fallback>
        </mc:AlternateContent>
      </w:r>
    </w:p>
    <w:p w:rsidR="001E5D35" w:rsidRPr="001E5D35" w:rsidRDefault="001E5D35" w:rsidP="001E5D35">
      <w:pPr>
        <w:widowControl w:val="0"/>
        <w:spacing w:before="10" w:after="0" w:line="240" w:lineRule="auto"/>
        <w:rPr>
          <w:rFonts w:ascii="InterFace" w:eastAsia="Times New Roman" w:hAnsi="InterFace" w:cs="InterFace"/>
          <w:sz w:val="17"/>
          <w:szCs w:val="19"/>
          <w:lang w:val="en-US"/>
        </w:rPr>
      </w:pPr>
    </w:p>
    <w:p w:rsidR="001E5D35" w:rsidRPr="001E5D35" w:rsidRDefault="001E5D35" w:rsidP="001E5D35">
      <w:pPr>
        <w:widowControl w:val="0"/>
        <w:spacing w:before="73" w:after="0" w:line="240" w:lineRule="auto"/>
        <w:ind w:left="1194" w:right="1232"/>
        <w:rPr>
          <w:rFonts w:ascii="InterFace" w:eastAsia="Times New Roman" w:hAnsi="InterFace" w:cs="InterFace"/>
          <w:sz w:val="19"/>
          <w:szCs w:val="19"/>
          <w:lang w:val="en-US"/>
        </w:rPr>
      </w:pPr>
      <w:r w:rsidRPr="001E5D35">
        <w:rPr>
          <w:rFonts w:ascii="InterFace" w:eastAsia="Times New Roman" w:hAnsi="InterFace" w:cs="InterFace"/>
          <w:color w:val="575756"/>
          <w:sz w:val="19"/>
          <w:szCs w:val="19"/>
          <w:lang w:val="en-US"/>
        </w:rPr>
        <w:t xml:space="preserve">This was reiterated in the </w:t>
      </w:r>
      <w:hyperlink r:id="rId5">
        <w:r w:rsidRPr="001E5D35">
          <w:rPr>
            <w:rFonts w:ascii="InterFace" w:eastAsia="Times New Roman" w:hAnsi="InterFace" w:cs="InterFace"/>
            <w:color w:val="0067B1"/>
            <w:sz w:val="19"/>
            <w:szCs w:val="19"/>
            <w:u w:val="single" w:color="0067B1"/>
            <w:lang w:val="en-US"/>
          </w:rPr>
          <w:t>recent letter from NHS England</w:t>
        </w:r>
      </w:hyperlink>
      <w:r w:rsidRPr="001E5D35">
        <w:rPr>
          <w:rFonts w:ascii="InterFace" w:eastAsia="Times New Roman" w:hAnsi="InterFace" w:cs="InterFace"/>
          <w:color w:val="0067B1"/>
          <w:sz w:val="19"/>
          <w:szCs w:val="19"/>
          <w:u w:val="single" w:color="0067B1"/>
          <w:lang w:val="en-US"/>
        </w:rPr>
        <w:t xml:space="preserve"> </w:t>
      </w:r>
      <w:r w:rsidRPr="001E5D35">
        <w:rPr>
          <w:rFonts w:ascii="InterFace" w:eastAsia="Times New Roman" w:hAnsi="InterFace" w:cs="InterFace"/>
          <w:color w:val="575756"/>
          <w:sz w:val="19"/>
          <w:szCs w:val="19"/>
          <w:lang w:val="en-US"/>
        </w:rPr>
        <w:t>to all hospital   providers</w:t>
      </w:r>
    </w:p>
    <w:p w:rsidR="001E5D35" w:rsidRPr="001E5D35" w:rsidRDefault="001E5D35" w:rsidP="001E5D35">
      <w:pPr>
        <w:widowControl w:val="0"/>
        <w:spacing w:before="9" w:after="0" w:line="240" w:lineRule="auto"/>
        <w:rPr>
          <w:rFonts w:ascii="InterFace" w:eastAsia="Times New Roman" w:hAnsi="InterFace" w:cs="InterFace"/>
          <w:sz w:val="21"/>
          <w:szCs w:val="19"/>
          <w:lang w:val="en-US"/>
        </w:rPr>
      </w:pPr>
    </w:p>
    <w:p w:rsidR="001E5D35" w:rsidRPr="001E5D35" w:rsidRDefault="001E5D35" w:rsidP="001E5D35">
      <w:pPr>
        <w:widowControl w:val="0"/>
        <w:spacing w:after="0" w:line="256" w:lineRule="auto"/>
        <w:ind w:left="1194" w:right="1232"/>
        <w:outlineLvl w:val="1"/>
        <w:rPr>
          <w:rFonts w:ascii="InterFace" w:eastAsia="Times New Roman" w:hAnsi="InterFace" w:cs="InterFace"/>
          <w:b/>
          <w:bCs/>
          <w:sz w:val="19"/>
          <w:szCs w:val="19"/>
          <w:lang w:val="en-US"/>
        </w:rPr>
      </w:pPr>
      <w:r w:rsidRPr="001E5D35">
        <w:rPr>
          <w:rFonts w:ascii="InterFace" w:eastAsia="Times New Roman" w:hAnsi="InterFace" w:cs="InterFace"/>
          <w:b/>
          <w:bCs/>
          <w:color w:val="575756"/>
          <w:sz w:val="19"/>
          <w:szCs w:val="19"/>
          <w:lang w:val="en-US"/>
        </w:rPr>
        <w:t>We would be grateful if you would now make the onward referral accordingly for the above patient as you feel clinically necessary, without further delay.</w:t>
      </w:r>
    </w:p>
    <w:p w:rsidR="001E5D35" w:rsidRPr="001E5D35" w:rsidRDefault="001E5D35" w:rsidP="001E5D35">
      <w:pPr>
        <w:widowControl w:val="0"/>
        <w:spacing w:before="5" w:after="0" w:line="240" w:lineRule="auto"/>
        <w:rPr>
          <w:rFonts w:ascii="InterFace" w:eastAsia="Times New Roman" w:hAnsi="InterFace" w:cs="InterFace"/>
          <w:b/>
          <w:sz w:val="20"/>
          <w:szCs w:val="19"/>
          <w:lang w:val="en-US"/>
        </w:rPr>
      </w:pPr>
    </w:p>
    <w:p w:rsidR="001E5D35" w:rsidRPr="001E5D35" w:rsidRDefault="001E5D35" w:rsidP="001E5D35">
      <w:pPr>
        <w:widowControl w:val="0"/>
        <w:spacing w:after="0" w:line="256" w:lineRule="auto"/>
        <w:ind w:left="1194" w:right="1359"/>
        <w:rPr>
          <w:rFonts w:ascii="InterFace" w:eastAsia="Times New Roman" w:hAnsi="InterFace" w:cs="InterFace"/>
          <w:sz w:val="19"/>
          <w:szCs w:val="19"/>
          <w:lang w:val="en-US"/>
        </w:rPr>
      </w:pPr>
      <w:r w:rsidRPr="001E5D35">
        <w:rPr>
          <w:rFonts w:ascii="InterFace" w:eastAsia="Times New Roman" w:hAnsi="InterFace" w:cs="InterFace"/>
          <w:color w:val="575756"/>
          <w:spacing w:val="-4"/>
          <w:sz w:val="19"/>
          <w:szCs w:val="19"/>
          <w:lang w:val="en-US"/>
        </w:rPr>
        <w:t>You will</w:t>
      </w:r>
      <w:r w:rsidRPr="001E5D35">
        <w:rPr>
          <w:rFonts w:ascii="InterFace" w:eastAsia="Times New Roman" w:hAnsi="InterFace" w:cs="InterFace"/>
          <w:color w:val="575756"/>
          <w:sz w:val="19"/>
          <w:szCs w:val="19"/>
          <w:lang w:val="en-US"/>
        </w:rPr>
        <w:t xml:space="preserve"> be aware that general practice is under unprecedented </w:t>
      </w:r>
      <w:r w:rsidRPr="001E5D35">
        <w:rPr>
          <w:rFonts w:ascii="InterFace" w:eastAsia="Times New Roman" w:hAnsi="InterFace" w:cs="InterFace"/>
          <w:color w:val="575756"/>
          <w:spacing w:val="2"/>
          <w:sz w:val="19"/>
          <w:szCs w:val="19"/>
          <w:lang w:val="en-US"/>
        </w:rPr>
        <w:t>workload pressures.</w:t>
      </w:r>
      <w:r w:rsidRPr="001E5D35">
        <w:rPr>
          <w:rFonts w:ascii="InterFace" w:eastAsia="Times New Roman" w:hAnsi="InterFace" w:cs="InterFace"/>
          <w:color w:val="575756"/>
          <w:spacing w:val="2"/>
          <w:sz w:val="19"/>
          <w:szCs w:val="19"/>
          <w:lang w:val="en-US"/>
        </w:rPr>
        <w:br/>
      </w:r>
      <w:r w:rsidRPr="001E5D35">
        <w:rPr>
          <w:rFonts w:ascii="InterFace" w:eastAsia="Times New Roman" w:hAnsi="InterFace" w:cs="InterFace"/>
          <w:color w:val="575756"/>
          <w:sz w:val="19"/>
          <w:szCs w:val="19"/>
          <w:lang w:val="en-US"/>
        </w:rPr>
        <w:t xml:space="preserve">In order to not incur </w:t>
      </w:r>
      <w:r w:rsidRPr="001E5D35">
        <w:rPr>
          <w:rFonts w:ascii="InterFace" w:eastAsia="Times New Roman" w:hAnsi="InterFace" w:cs="InterFace"/>
          <w:color w:val="575756"/>
          <w:spacing w:val="2"/>
          <w:sz w:val="19"/>
          <w:szCs w:val="19"/>
          <w:lang w:val="en-US"/>
        </w:rPr>
        <w:t xml:space="preserve">unnecessary </w:t>
      </w:r>
      <w:r w:rsidRPr="001E5D35">
        <w:rPr>
          <w:rFonts w:ascii="InterFace" w:eastAsia="Times New Roman" w:hAnsi="InterFace" w:cs="InterFace"/>
          <w:color w:val="575756"/>
          <w:sz w:val="19"/>
          <w:szCs w:val="19"/>
          <w:lang w:val="en-US"/>
        </w:rPr>
        <w:t xml:space="preserve">additional bureaucracy on hard pressed GP </w:t>
      </w:r>
      <w:r w:rsidRPr="001E5D35">
        <w:rPr>
          <w:rFonts w:ascii="InterFace" w:eastAsia="Times New Roman" w:hAnsi="InterFace" w:cs="InterFace"/>
          <w:color w:val="575756"/>
          <w:spacing w:val="2"/>
          <w:sz w:val="19"/>
          <w:szCs w:val="19"/>
          <w:lang w:val="en-US"/>
        </w:rPr>
        <w:t xml:space="preserve">surgeries, </w:t>
      </w:r>
      <w:r w:rsidRPr="001E5D35">
        <w:rPr>
          <w:rFonts w:ascii="InterFace" w:eastAsia="Times New Roman" w:hAnsi="InterFace" w:cs="InterFace"/>
          <w:color w:val="575756"/>
          <w:sz w:val="19"/>
          <w:szCs w:val="19"/>
          <w:lang w:val="en-US"/>
        </w:rPr>
        <w:t xml:space="preserve">please </w:t>
      </w:r>
      <w:proofErr w:type="spellStart"/>
      <w:r w:rsidRPr="001E5D35">
        <w:rPr>
          <w:rFonts w:ascii="InterFace" w:eastAsia="Times New Roman" w:hAnsi="InterFace" w:cs="InterFace"/>
          <w:color w:val="575756"/>
          <w:sz w:val="19"/>
          <w:szCs w:val="19"/>
          <w:lang w:val="en-US"/>
        </w:rPr>
        <w:t>organise</w:t>
      </w:r>
      <w:proofErr w:type="spellEnd"/>
      <w:r w:rsidRPr="001E5D35">
        <w:rPr>
          <w:rFonts w:ascii="InterFace" w:eastAsia="Times New Roman" w:hAnsi="InterFace" w:cs="InterFace"/>
          <w:color w:val="575756"/>
          <w:sz w:val="19"/>
          <w:szCs w:val="19"/>
          <w:lang w:val="en-US"/>
        </w:rPr>
        <w:t xml:space="preserve"> to review your policy accordingly and ensure this is communicated to your  </w:t>
      </w:r>
      <w:r w:rsidRPr="001E5D35">
        <w:rPr>
          <w:rFonts w:ascii="InterFace" w:eastAsia="Times New Roman" w:hAnsi="InterFace" w:cs="InterFace"/>
          <w:color w:val="575756"/>
          <w:spacing w:val="28"/>
          <w:sz w:val="19"/>
          <w:szCs w:val="19"/>
          <w:lang w:val="en-US"/>
        </w:rPr>
        <w:t xml:space="preserve"> </w:t>
      </w:r>
      <w:r w:rsidRPr="001E5D35">
        <w:rPr>
          <w:rFonts w:ascii="InterFace" w:eastAsia="Times New Roman" w:hAnsi="InterFace" w:cs="InterFace"/>
          <w:color w:val="575756"/>
          <w:sz w:val="19"/>
          <w:szCs w:val="19"/>
          <w:lang w:val="en-US"/>
        </w:rPr>
        <w:t>team.</w:t>
      </w:r>
    </w:p>
    <w:p w:rsidR="001E5D35" w:rsidRPr="001E5D35" w:rsidRDefault="001E5D35" w:rsidP="001E5D35">
      <w:pPr>
        <w:widowControl w:val="0"/>
        <w:spacing w:before="5" w:after="0" w:line="240" w:lineRule="auto"/>
        <w:rPr>
          <w:rFonts w:ascii="InterFace" w:eastAsia="Times New Roman" w:hAnsi="InterFace" w:cs="InterFace"/>
          <w:sz w:val="20"/>
          <w:szCs w:val="19"/>
          <w:lang w:val="en-US"/>
        </w:rPr>
      </w:pPr>
    </w:p>
    <w:p w:rsidR="001E5D35" w:rsidRPr="001E5D35" w:rsidRDefault="001E5D35" w:rsidP="001E5D35">
      <w:pPr>
        <w:widowControl w:val="0"/>
        <w:spacing w:after="0" w:line="256" w:lineRule="auto"/>
        <w:ind w:left="1194" w:right="1429"/>
        <w:rPr>
          <w:rFonts w:ascii="InterFace" w:eastAsia="Times New Roman" w:hAnsi="InterFace" w:cs="InterFace"/>
          <w:sz w:val="19"/>
          <w:szCs w:val="19"/>
          <w:lang w:val="en-US"/>
        </w:rPr>
      </w:pPr>
      <w:r w:rsidRPr="001E5D35">
        <w:rPr>
          <w:rFonts w:ascii="InterFace" w:eastAsia="Times New Roman" w:hAnsi="InterFace" w:cs="InterFace"/>
          <w:color w:val="575756"/>
          <w:sz w:val="19"/>
          <w:szCs w:val="19"/>
          <w:lang w:val="en-US"/>
        </w:rPr>
        <w:t>This arrangement will also have the added benefit of reducing unnecessary referral delay and waiting times for patients.</w:t>
      </w:r>
    </w:p>
    <w:p w:rsidR="001E5D35" w:rsidRPr="001E5D35" w:rsidRDefault="001E5D35" w:rsidP="001E5D35">
      <w:pPr>
        <w:widowControl w:val="0"/>
        <w:spacing w:before="5" w:after="0" w:line="240" w:lineRule="auto"/>
        <w:rPr>
          <w:rFonts w:ascii="InterFace" w:eastAsia="Times New Roman" w:hAnsi="InterFace" w:cs="InterFace"/>
          <w:sz w:val="20"/>
          <w:szCs w:val="19"/>
          <w:lang w:val="en-US"/>
        </w:rPr>
      </w:pPr>
    </w:p>
    <w:p w:rsidR="001E5D35" w:rsidRPr="001E5D35" w:rsidRDefault="001E5D35" w:rsidP="001E5D35">
      <w:pPr>
        <w:widowControl w:val="0"/>
        <w:spacing w:after="0" w:line="256" w:lineRule="auto"/>
        <w:ind w:left="1194" w:right="1429"/>
        <w:rPr>
          <w:rFonts w:ascii="InterFace" w:eastAsia="Times New Roman" w:hAnsi="InterFace" w:cs="InterFace"/>
          <w:sz w:val="19"/>
          <w:szCs w:val="19"/>
          <w:lang w:val="en-US"/>
        </w:rPr>
      </w:pPr>
      <w:r w:rsidRPr="001E5D35">
        <w:rPr>
          <w:rFonts w:ascii="InterFace" w:eastAsia="Times New Roman" w:hAnsi="InterFace" w:cs="InterFace"/>
          <w:color w:val="575756"/>
          <w:sz w:val="19"/>
          <w:szCs w:val="19"/>
          <w:lang w:val="en-US"/>
        </w:rPr>
        <w:t>We have notified [insert] CCG, as the commissioner, of this breach in view of their responsibility to ensure delivery of the standard hospital contract</w:t>
      </w:r>
    </w:p>
    <w:p w:rsidR="001E5D35" w:rsidRPr="001E5D35" w:rsidRDefault="001E5D35" w:rsidP="001E5D35">
      <w:pPr>
        <w:widowControl w:val="0"/>
        <w:spacing w:before="5" w:after="0" w:line="240" w:lineRule="auto"/>
        <w:rPr>
          <w:rFonts w:ascii="InterFace" w:eastAsia="Times New Roman" w:hAnsi="InterFace" w:cs="InterFace"/>
          <w:sz w:val="20"/>
          <w:szCs w:val="19"/>
          <w:lang w:val="en-US"/>
        </w:rPr>
      </w:pPr>
    </w:p>
    <w:p w:rsidR="001E5D35" w:rsidRPr="001E5D35" w:rsidRDefault="001E5D35" w:rsidP="001E5D35">
      <w:pPr>
        <w:widowControl w:val="0"/>
        <w:spacing w:after="0" w:line="240" w:lineRule="auto"/>
        <w:ind w:left="1194" w:right="1232"/>
        <w:rPr>
          <w:rFonts w:ascii="InterFace" w:eastAsia="Times New Roman" w:hAnsi="InterFace" w:cs="InterFace"/>
          <w:sz w:val="19"/>
          <w:szCs w:val="19"/>
          <w:lang w:val="en-US"/>
        </w:rPr>
      </w:pPr>
      <w:r w:rsidRPr="001E5D35">
        <w:rPr>
          <w:rFonts w:ascii="InterFace" w:eastAsia="Times New Roman" w:hAnsi="InterFace" w:cs="InterFace"/>
          <w:color w:val="575756"/>
          <w:sz w:val="19"/>
          <w:szCs w:val="19"/>
          <w:lang w:val="en-US"/>
        </w:rPr>
        <w:t>Yours faithfully,</w:t>
      </w:r>
    </w:p>
    <w:p w:rsidR="001672A8" w:rsidRDefault="001E5D35">
      <w:bookmarkStart w:id="0" w:name="_GoBack"/>
      <w:bookmarkEnd w:id="0"/>
    </w:p>
    <w:sectPr w:rsidR="001672A8" w:rsidSect="003A1D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Face">
    <w:altName w:val="Corbe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35"/>
    <w:rsid w:val="001E5D35"/>
    <w:rsid w:val="005C2E3D"/>
    <w:rsid w:val="00F6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6FF8C-4BDF-469A-BCCB-FA6EA1D3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1"/>
    <w:qFormat/>
    <w:rsid w:val="001E5D35"/>
    <w:pPr>
      <w:widowControl w:val="0"/>
      <w:spacing w:after="0" w:line="240" w:lineRule="auto"/>
      <w:ind w:left="1194" w:right="1232"/>
      <w:outlineLvl w:val="1"/>
    </w:pPr>
    <w:rPr>
      <w:rFonts w:ascii="InterFace" w:eastAsia="Times New Roman" w:hAnsi="InterFace" w:cs="InterFace"/>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E5D35"/>
    <w:rPr>
      <w:rFonts w:ascii="InterFace" w:eastAsia="Times New Roman" w:hAnsi="InterFace" w:cs="InterFace"/>
      <w:b/>
      <w:bCs/>
      <w:sz w:val="19"/>
      <w:szCs w:val="19"/>
      <w:lang w:val="en-US"/>
    </w:rPr>
  </w:style>
  <w:style w:type="paragraph" w:styleId="BodyText">
    <w:name w:val="Body Text"/>
    <w:basedOn w:val="Normal"/>
    <w:link w:val="BodyTextChar"/>
    <w:uiPriority w:val="1"/>
    <w:qFormat/>
    <w:rsid w:val="001E5D35"/>
    <w:pPr>
      <w:widowControl w:val="0"/>
      <w:spacing w:after="0" w:line="240" w:lineRule="auto"/>
    </w:pPr>
    <w:rPr>
      <w:rFonts w:ascii="InterFace" w:eastAsia="Times New Roman" w:hAnsi="InterFace" w:cs="InterFace"/>
      <w:sz w:val="19"/>
      <w:szCs w:val="19"/>
      <w:lang w:val="en-US"/>
    </w:rPr>
  </w:style>
  <w:style w:type="character" w:customStyle="1" w:styleId="BodyTextChar">
    <w:name w:val="Body Text Char"/>
    <w:basedOn w:val="DefaultParagraphFont"/>
    <w:link w:val="BodyText"/>
    <w:uiPriority w:val="1"/>
    <w:rsid w:val="001E5D35"/>
    <w:rPr>
      <w:rFonts w:ascii="InterFace" w:eastAsia="Times New Roman" w:hAnsi="InterFace" w:cs="InterFace"/>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nhs.uk/wp-content/uploads/2016/07/letter-contract-requirements.pdf" TargetMode="External"/><Relationship Id="rId4" Type="http://schemas.openxmlformats.org/officeDocument/2006/relationships/hyperlink" Target="https://www.england.nhs.uk/wp-content/uploads/2016/04/2-nhs-contrct-tech-guid-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1</cp:revision>
  <dcterms:created xsi:type="dcterms:W3CDTF">2016-09-13T08:23:00Z</dcterms:created>
  <dcterms:modified xsi:type="dcterms:W3CDTF">2016-09-13T08:23:00Z</dcterms:modified>
</cp:coreProperties>
</file>