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B1" w:rsidRPr="000603B1" w:rsidRDefault="000603B1" w:rsidP="000603B1">
      <w:pPr>
        <w:widowControl w:val="0"/>
        <w:spacing w:after="0" w:line="240" w:lineRule="auto"/>
        <w:ind w:left="1194" w:right="1232"/>
        <w:outlineLvl w:val="1"/>
        <w:rPr>
          <w:rFonts w:ascii="InterFace" w:eastAsia="Times New Roman" w:hAnsi="InterFace" w:cs="InterFace"/>
          <w:b/>
          <w:bCs/>
          <w:sz w:val="19"/>
          <w:szCs w:val="19"/>
          <w:lang w:val="en-US"/>
        </w:rPr>
      </w:pPr>
      <w:r w:rsidRPr="000603B1">
        <w:rPr>
          <w:rFonts w:ascii="InterFace" w:eastAsia="Times New Roman" w:hAnsi="InterFace" w:cs="InterFace"/>
          <w:b/>
          <w:bCs/>
          <w:color w:val="575756"/>
          <w:sz w:val="19"/>
          <w:szCs w:val="19"/>
          <w:lang w:val="en-US"/>
        </w:rPr>
        <w:t>Template letter for provision of medication following discharge</w:t>
      </w:r>
    </w:p>
    <w:p w:rsidR="000603B1" w:rsidRPr="000603B1" w:rsidRDefault="000603B1" w:rsidP="000603B1">
      <w:pPr>
        <w:widowControl w:val="0"/>
        <w:spacing w:after="0" w:line="240" w:lineRule="auto"/>
        <w:rPr>
          <w:rFonts w:ascii="InterFace" w:eastAsia="Times New Roman" w:hAnsi="InterFace" w:cs="InterFace"/>
          <w:b/>
          <w:sz w:val="18"/>
          <w:szCs w:val="19"/>
          <w:lang w:val="en-US"/>
        </w:rPr>
      </w:pPr>
    </w:p>
    <w:p w:rsidR="000603B1" w:rsidRPr="000603B1" w:rsidRDefault="000603B1" w:rsidP="000603B1">
      <w:pPr>
        <w:widowControl w:val="0"/>
        <w:spacing w:after="0" w:line="240" w:lineRule="auto"/>
        <w:rPr>
          <w:rFonts w:ascii="InterFace" w:eastAsia="Times New Roman" w:hAnsi="InterFace" w:cs="InterFace"/>
          <w:b/>
          <w:sz w:val="18"/>
          <w:szCs w:val="19"/>
          <w:lang w:val="en-US"/>
        </w:rPr>
      </w:pPr>
    </w:p>
    <w:p w:rsidR="000603B1" w:rsidRPr="000603B1" w:rsidRDefault="000603B1" w:rsidP="000603B1">
      <w:pPr>
        <w:widowControl w:val="0"/>
        <w:spacing w:before="7" w:after="0" w:line="240" w:lineRule="auto"/>
        <w:rPr>
          <w:rFonts w:ascii="InterFace" w:eastAsia="Times New Roman" w:hAnsi="InterFace" w:cs="InterFace"/>
          <w:b/>
          <w:sz w:val="26"/>
          <w:szCs w:val="19"/>
          <w:lang w:val="en-US"/>
        </w:rPr>
      </w:pPr>
    </w:p>
    <w:p w:rsidR="000603B1" w:rsidRPr="000603B1" w:rsidRDefault="000603B1" w:rsidP="000603B1">
      <w:pPr>
        <w:widowControl w:val="0"/>
        <w:spacing w:after="0" w:line="240" w:lineRule="auto"/>
        <w:ind w:left="1194" w:right="1232"/>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Dear Provider,</w:t>
      </w:r>
    </w:p>
    <w:p w:rsidR="000603B1" w:rsidRPr="000603B1" w:rsidRDefault="000603B1" w:rsidP="000603B1">
      <w:pPr>
        <w:widowControl w:val="0"/>
        <w:spacing w:before="9" w:after="0" w:line="240" w:lineRule="auto"/>
        <w:rPr>
          <w:rFonts w:ascii="InterFace" w:eastAsia="Times New Roman" w:hAnsi="InterFace" w:cs="InterFace"/>
          <w:sz w:val="21"/>
          <w:szCs w:val="19"/>
          <w:lang w:val="en-US"/>
        </w:rPr>
      </w:pPr>
    </w:p>
    <w:p w:rsidR="000603B1" w:rsidRPr="000603B1" w:rsidRDefault="000603B1" w:rsidP="000603B1">
      <w:pPr>
        <w:widowControl w:val="0"/>
        <w:spacing w:after="0" w:line="240" w:lineRule="auto"/>
        <w:ind w:left="1194" w:right="1232"/>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Re: &lt;&lt;Patient Identifier Label&gt;&gt;</w:t>
      </w:r>
    </w:p>
    <w:p w:rsidR="000603B1" w:rsidRPr="000603B1" w:rsidRDefault="000603B1" w:rsidP="000603B1">
      <w:pPr>
        <w:widowControl w:val="0"/>
        <w:spacing w:before="9" w:after="0" w:line="240" w:lineRule="auto"/>
        <w:rPr>
          <w:rFonts w:ascii="InterFace" w:eastAsia="Times New Roman" w:hAnsi="InterFace" w:cs="InterFace"/>
          <w:sz w:val="21"/>
          <w:szCs w:val="19"/>
          <w:lang w:val="en-US"/>
        </w:rPr>
      </w:pPr>
    </w:p>
    <w:p w:rsidR="000603B1" w:rsidRPr="000603B1" w:rsidRDefault="000603B1" w:rsidP="000603B1">
      <w:pPr>
        <w:widowControl w:val="0"/>
        <w:spacing w:after="0" w:line="256" w:lineRule="auto"/>
        <w:ind w:left="1194" w:right="1429"/>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The above patient was discharged from your [inpatient/day case care/outpatient clinic] on [insert date]. However, you failed to supply the patient with medication for a minimum of seven days (unless a shorter period is clinically necessary).</w:t>
      </w:r>
    </w:p>
    <w:p w:rsidR="000603B1" w:rsidRPr="000603B1" w:rsidRDefault="000603B1" w:rsidP="000603B1">
      <w:pPr>
        <w:widowControl w:val="0"/>
        <w:spacing w:before="5" w:after="0" w:line="240" w:lineRule="auto"/>
        <w:rPr>
          <w:rFonts w:ascii="InterFace" w:eastAsia="Times New Roman" w:hAnsi="InterFace" w:cs="InterFace"/>
          <w:sz w:val="20"/>
          <w:szCs w:val="19"/>
          <w:lang w:val="en-US"/>
        </w:rPr>
      </w:pPr>
    </w:p>
    <w:p w:rsidR="000603B1" w:rsidRPr="000603B1" w:rsidRDefault="000603B1" w:rsidP="000603B1">
      <w:pPr>
        <w:widowControl w:val="0"/>
        <w:spacing w:after="0" w:line="256" w:lineRule="auto"/>
        <w:ind w:left="1194" w:right="1232"/>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 xml:space="preserve">This breaches the </w:t>
      </w:r>
      <w:hyperlink r:id="rId4">
        <w:r w:rsidRPr="000603B1">
          <w:rPr>
            <w:rFonts w:ascii="InterFace" w:eastAsia="Times New Roman" w:hAnsi="InterFace" w:cs="InterFace"/>
            <w:color w:val="0067B1"/>
            <w:sz w:val="19"/>
            <w:szCs w:val="19"/>
            <w:u w:val="single" w:color="0067B1"/>
            <w:lang w:val="en-US"/>
          </w:rPr>
          <w:t xml:space="preserve">new hospital standard contract </w:t>
        </w:r>
      </w:hyperlink>
      <w:r w:rsidRPr="000603B1">
        <w:rPr>
          <w:rFonts w:ascii="InterFace" w:eastAsia="Times New Roman" w:hAnsi="InterFace" w:cs="InterFace"/>
          <w:color w:val="575756"/>
          <w:sz w:val="19"/>
          <w:szCs w:val="19"/>
          <w:lang w:val="en-US"/>
        </w:rPr>
        <w:t xml:space="preserve">which came into force on 1 April 2016, which sets new requirements to reduce inappropriate bureaucratic workload shift onto GP practices, and was also reiterated in a recent </w:t>
      </w:r>
      <w:hyperlink r:id="rId5">
        <w:r w:rsidRPr="000603B1">
          <w:rPr>
            <w:rFonts w:ascii="InterFace" w:eastAsia="Times New Roman" w:hAnsi="InterFace" w:cs="InterFace"/>
            <w:color w:val="0067B1"/>
            <w:sz w:val="19"/>
            <w:szCs w:val="19"/>
            <w:u w:val="single" w:color="0067B1"/>
            <w:lang w:val="en-US"/>
          </w:rPr>
          <w:t>letter from NHS England to all NHS Trusts</w:t>
        </w:r>
      </w:hyperlink>
      <w:r w:rsidRPr="000603B1">
        <w:rPr>
          <w:rFonts w:ascii="InterFace" w:eastAsia="Times New Roman" w:hAnsi="InterFace" w:cs="InterFace"/>
          <w:color w:val="575756"/>
          <w:sz w:val="19"/>
          <w:szCs w:val="19"/>
          <w:lang w:val="en-US"/>
        </w:rPr>
        <w:t>.</w:t>
      </w:r>
    </w:p>
    <w:p w:rsidR="000603B1" w:rsidRPr="000603B1" w:rsidRDefault="000603B1" w:rsidP="000603B1">
      <w:pPr>
        <w:widowControl w:val="0"/>
        <w:spacing w:before="8" w:after="0" w:line="240" w:lineRule="auto"/>
        <w:rPr>
          <w:rFonts w:ascii="InterFace" w:eastAsia="Times New Roman" w:hAnsi="InterFace" w:cs="InterFace"/>
          <w:sz w:val="23"/>
          <w:szCs w:val="19"/>
          <w:lang w:val="en-US"/>
        </w:rPr>
      </w:pPr>
      <w:r w:rsidRPr="000603B1">
        <w:rPr>
          <w:rFonts w:ascii="InterFace" w:eastAsia="Times New Roman" w:hAnsi="InterFace" w:cs="InterFace"/>
          <w:noProof/>
          <w:sz w:val="19"/>
          <w:szCs w:val="19"/>
          <w:lang w:eastAsia="en-GB"/>
        </w:rPr>
        <mc:AlternateContent>
          <mc:Choice Requires="wps">
            <w:drawing>
              <wp:anchor distT="0" distB="0" distL="0" distR="0" simplePos="0" relativeHeight="251659264" behindDoc="0" locked="0" layoutInCell="1" allowOverlap="1">
                <wp:simplePos x="0" y="0"/>
                <wp:positionH relativeFrom="page">
                  <wp:posOffset>1799590</wp:posOffset>
                </wp:positionH>
                <wp:positionV relativeFrom="paragraph">
                  <wp:posOffset>191770</wp:posOffset>
                </wp:positionV>
                <wp:extent cx="4644390" cy="990600"/>
                <wp:effectExtent l="0" t="1270" r="444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990600"/>
                        </a:xfrm>
                        <a:prstGeom prst="rect">
                          <a:avLst/>
                        </a:prstGeom>
                        <a:solidFill>
                          <a:srgbClr val="D3E9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3B1" w:rsidRDefault="000603B1" w:rsidP="000603B1">
                            <w:pPr>
                              <w:pStyle w:val="BodyText"/>
                              <w:spacing w:before="1"/>
                              <w:rPr>
                                <w:sz w:val="15"/>
                              </w:rPr>
                            </w:pPr>
                          </w:p>
                          <w:p w:rsidR="000603B1" w:rsidRDefault="000603B1" w:rsidP="000603B1">
                            <w:pPr>
                              <w:spacing w:line="256" w:lineRule="auto"/>
                              <w:ind w:left="170"/>
                              <w:rPr>
                                <w:b/>
                                <w:sz w:val="19"/>
                              </w:rPr>
                            </w:pPr>
                            <w:r>
                              <w:rPr>
                                <w:b/>
                                <w:color w:val="575756"/>
                                <w:sz w:val="19"/>
                              </w:rPr>
                              <w:t>Contract reference SC11 introduces a new requirement on providers to supply patients with medication following discharge from inpatient or day case care. Medication must now be supplied for the period established in local practice or protocols, but must be for a minimum of seven days (unless a shorter period is clinically appropriate or where a repeat prescription is already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7pt;margin-top:15.1pt;width:365.7pt;height:7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" fillcolor="#d3e9fa" stroked="f">
                <v:textbox inset="0,0,0,0">
                  <w:txbxContent>
                    <w:p w:rsidR="000603B1" w:rsidRDefault="000603B1" w:rsidP="000603B1">
                      <w:pPr>
                        <w:pStyle w:val="BodyText"/>
                        <w:spacing w:before="1"/>
                        <w:rPr>
                          <w:sz w:val="15"/>
                        </w:rPr>
                      </w:pPr>
                    </w:p>
                    <w:p w:rsidR="000603B1" w:rsidRDefault="000603B1" w:rsidP="000603B1">
                      <w:pPr>
                        <w:spacing w:line="256" w:lineRule="auto"/>
                        <w:ind w:left="170"/>
                        <w:rPr>
                          <w:b/>
                          <w:sz w:val="19"/>
                        </w:rPr>
                      </w:pPr>
                      <w:r>
                        <w:rPr>
                          <w:b/>
                          <w:color w:val="575756"/>
                          <w:sz w:val="19"/>
                        </w:rPr>
                        <w:t>Contract reference SC11 introduces a new requirement on providers to supply patients with medication following discharge from inpatient or day case care. Medication must now be supplied for the period established in local practice or protocols, but must be for a minimum of seven days (unless a shorter period is clinically appropriate or where a repeat prescription is already in place).</w:t>
                      </w:r>
                    </w:p>
                  </w:txbxContent>
                </v:textbox>
                <w10:wrap type="topAndBottom" anchorx="page"/>
              </v:shape>
            </w:pict>
          </mc:Fallback>
        </mc:AlternateContent>
      </w:r>
    </w:p>
    <w:p w:rsidR="000603B1" w:rsidRPr="000603B1" w:rsidRDefault="000603B1" w:rsidP="000603B1">
      <w:pPr>
        <w:widowControl w:val="0"/>
        <w:spacing w:before="9" w:after="0" w:line="240" w:lineRule="auto"/>
        <w:rPr>
          <w:rFonts w:ascii="InterFace" w:eastAsia="Times New Roman" w:hAnsi="InterFace" w:cs="InterFace"/>
          <w:sz w:val="17"/>
          <w:szCs w:val="19"/>
          <w:lang w:val="en-US"/>
        </w:rPr>
      </w:pPr>
    </w:p>
    <w:p w:rsidR="000603B1" w:rsidRPr="000603B1" w:rsidRDefault="000603B1" w:rsidP="000603B1">
      <w:pPr>
        <w:widowControl w:val="0"/>
        <w:spacing w:before="73" w:after="0" w:line="256" w:lineRule="auto"/>
        <w:ind w:left="1194" w:right="1543"/>
        <w:jc w:val="both"/>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 xml:space="preserve">Failure to supply patients with medication following discharge from inpatient or </w:t>
      </w:r>
      <w:proofErr w:type="spellStart"/>
      <w:r w:rsidRPr="000603B1">
        <w:rPr>
          <w:rFonts w:ascii="InterFace" w:eastAsia="Times New Roman" w:hAnsi="InterFace" w:cs="InterFace"/>
          <w:color w:val="575756"/>
          <w:sz w:val="19"/>
          <w:szCs w:val="19"/>
          <w:lang w:val="en-US"/>
        </w:rPr>
        <w:t>daycase</w:t>
      </w:r>
      <w:proofErr w:type="spellEnd"/>
      <w:r w:rsidRPr="000603B1">
        <w:rPr>
          <w:rFonts w:ascii="InterFace" w:eastAsia="Times New Roman" w:hAnsi="InterFace" w:cs="InterFace"/>
          <w:color w:val="575756"/>
          <w:sz w:val="19"/>
          <w:szCs w:val="19"/>
          <w:lang w:val="en-US"/>
        </w:rPr>
        <w:t xml:space="preserve"> care for a minimum of seven days, waste millions of GP appointments annually and incur unnecessary additional bureaucracy on hard pressed GP surgeries.</w:t>
      </w:r>
    </w:p>
    <w:p w:rsidR="000603B1" w:rsidRPr="000603B1" w:rsidRDefault="000603B1" w:rsidP="000603B1">
      <w:pPr>
        <w:widowControl w:val="0"/>
        <w:spacing w:before="5" w:after="0" w:line="240" w:lineRule="auto"/>
        <w:rPr>
          <w:rFonts w:ascii="InterFace" w:eastAsia="Times New Roman" w:hAnsi="InterFace" w:cs="InterFace"/>
          <w:sz w:val="20"/>
          <w:szCs w:val="19"/>
          <w:lang w:val="en-US"/>
        </w:rPr>
      </w:pPr>
    </w:p>
    <w:p w:rsidR="000603B1" w:rsidRPr="000603B1" w:rsidRDefault="000603B1" w:rsidP="000603B1">
      <w:pPr>
        <w:widowControl w:val="0"/>
        <w:spacing w:after="0" w:line="256" w:lineRule="auto"/>
        <w:ind w:left="1194" w:right="1429"/>
        <w:outlineLvl w:val="1"/>
        <w:rPr>
          <w:rFonts w:ascii="InterFace" w:eastAsia="Times New Roman" w:hAnsi="InterFace" w:cs="InterFace"/>
          <w:b/>
          <w:bCs/>
          <w:sz w:val="19"/>
          <w:szCs w:val="19"/>
          <w:lang w:val="en-US"/>
        </w:rPr>
      </w:pPr>
      <w:r w:rsidRPr="000603B1">
        <w:rPr>
          <w:rFonts w:ascii="InterFace" w:eastAsia="Times New Roman" w:hAnsi="InterFace" w:cs="InterFace"/>
          <w:b/>
          <w:bCs/>
          <w:color w:val="575756"/>
          <w:sz w:val="19"/>
          <w:szCs w:val="19"/>
          <w:lang w:val="en-US"/>
        </w:rPr>
        <w:t>We would be grateful if you could supply the patient with the appropriate medication for a minimum of seven days (unless a shorter period is clinically appropriate or a repeat prescription is already in place).</w:t>
      </w:r>
    </w:p>
    <w:p w:rsidR="000603B1" w:rsidRPr="000603B1" w:rsidRDefault="000603B1" w:rsidP="000603B1">
      <w:pPr>
        <w:widowControl w:val="0"/>
        <w:spacing w:before="5" w:after="0" w:line="240" w:lineRule="auto"/>
        <w:rPr>
          <w:rFonts w:ascii="InterFace" w:eastAsia="Times New Roman" w:hAnsi="InterFace" w:cs="InterFace"/>
          <w:b/>
          <w:sz w:val="20"/>
          <w:szCs w:val="19"/>
          <w:lang w:val="en-US"/>
        </w:rPr>
      </w:pPr>
    </w:p>
    <w:p w:rsidR="000603B1" w:rsidRPr="000603B1" w:rsidRDefault="000603B1" w:rsidP="000603B1">
      <w:pPr>
        <w:widowControl w:val="0"/>
        <w:spacing w:after="0" w:line="256" w:lineRule="auto"/>
        <w:ind w:left="1194" w:right="1232"/>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While we appreciate that these contractual requirements are fairly new and may take some time to embed, we ask that you please act swiftly to implement these contractual obligations into your systems.</w:t>
      </w:r>
    </w:p>
    <w:p w:rsidR="000603B1" w:rsidRPr="000603B1" w:rsidRDefault="000603B1" w:rsidP="000603B1">
      <w:pPr>
        <w:widowControl w:val="0"/>
        <w:spacing w:before="5" w:after="0" w:line="240" w:lineRule="auto"/>
        <w:rPr>
          <w:rFonts w:ascii="InterFace" w:eastAsia="Times New Roman" w:hAnsi="InterFace" w:cs="InterFace"/>
          <w:sz w:val="20"/>
          <w:szCs w:val="19"/>
          <w:lang w:val="en-US"/>
        </w:rPr>
      </w:pPr>
    </w:p>
    <w:p w:rsidR="000603B1" w:rsidRPr="000603B1" w:rsidRDefault="000603B1" w:rsidP="000603B1">
      <w:pPr>
        <w:widowControl w:val="0"/>
        <w:spacing w:after="0" w:line="256" w:lineRule="auto"/>
        <w:ind w:left="1194" w:right="1429"/>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We have notified [insert] CCG, as the commissioner, of this breach in view of their responsibility to ensure delivery of the standard hospital contract.</w:t>
      </w:r>
    </w:p>
    <w:p w:rsidR="000603B1" w:rsidRPr="000603B1" w:rsidRDefault="000603B1" w:rsidP="000603B1">
      <w:pPr>
        <w:widowControl w:val="0"/>
        <w:spacing w:before="5" w:after="0" w:line="240" w:lineRule="auto"/>
        <w:rPr>
          <w:rFonts w:ascii="InterFace" w:eastAsia="Times New Roman" w:hAnsi="InterFace" w:cs="InterFace"/>
          <w:sz w:val="20"/>
          <w:szCs w:val="19"/>
          <w:lang w:val="en-US"/>
        </w:rPr>
      </w:pPr>
    </w:p>
    <w:p w:rsidR="000603B1" w:rsidRPr="000603B1" w:rsidRDefault="000603B1" w:rsidP="000603B1">
      <w:pPr>
        <w:widowControl w:val="0"/>
        <w:spacing w:after="0" w:line="240" w:lineRule="auto"/>
        <w:ind w:left="1194" w:right="1232"/>
        <w:rPr>
          <w:rFonts w:ascii="InterFace" w:eastAsia="Times New Roman" w:hAnsi="InterFace" w:cs="InterFace"/>
          <w:sz w:val="19"/>
          <w:szCs w:val="19"/>
          <w:lang w:val="en-US"/>
        </w:rPr>
      </w:pPr>
      <w:r w:rsidRPr="000603B1">
        <w:rPr>
          <w:rFonts w:ascii="InterFace" w:eastAsia="Times New Roman" w:hAnsi="InterFace" w:cs="InterFace"/>
          <w:color w:val="575756"/>
          <w:sz w:val="19"/>
          <w:szCs w:val="19"/>
          <w:lang w:val="en-US"/>
        </w:rPr>
        <w:t>Yours faithfully,</w:t>
      </w:r>
    </w:p>
    <w:p w:rsidR="001672A8" w:rsidRDefault="000603B1">
      <w:bookmarkStart w:id="0" w:name="_GoBack"/>
      <w:bookmarkEnd w:id="0"/>
    </w:p>
    <w:sectPr w:rsidR="001672A8" w:rsidSect="003B43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1"/>
    <w:rsid w:val="000603B1"/>
    <w:rsid w:val="005C2E3D"/>
    <w:rsid w:val="00F6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198B8-190C-40F6-96BE-2B794AE1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0603B1"/>
    <w:pPr>
      <w:widowControl w:val="0"/>
      <w:spacing w:after="0" w:line="240" w:lineRule="auto"/>
      <w:ind w:left="1194" w:right="1232"/>
      <w:outlineLvl w:val="1"/>
    </w:pPr>
    <w:rPr>
      <w:rFonts w:ascii="InterFace" w:eastAsia="Times New Roman" w:hAnsi="InterFace" w:cs="InterFace"/>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603B1"/>
    <w:rPr>
      <w:rFonts w:ascii="InterFace" w:eastAsia="Times New Roman" w:hAnsi="InterFace" w:cs="InterFace"/>
      <w:b/>
      <w:bCs/>
      <w:sz w:val="19"/>
      <w:szCs w:val="19"/>
      <w:lang w:val="en-US"/>
    </w:rPr>
  </w:style>
  <w:style w:type="paragraph" w:styleId="BodyText">
    <w:name w:val="Body Text"/>
    <w:basedOn w:val="Normal"/>
    <w:link w:val="BodyTextChar"/>
    <w:uiPriority w:val="1"/>
    <w:qFormat/>
    <w:rsid w:val="000603B1"/>
    <w:pPr>
      <w:widowControl w:val="0"/>
      <w:spacing w:after="0" w:line="240" w:lineRule="auto"/>
    </w:pPr>
    <w:rPr>
      <w:rFonts w:ascii="InterFace" w:eastAsia="Times New Roman" w:hAnsi="InterFace" w:cs="InterFace"/>
      <w:sz w:val="19"/>
      <w:szCs w:val="19"/>
      <w:lang w:val="en-US"/>
    </w:rPr>
  </w:style>
  <w:style w:type="character" w:customStyle="1" w:styleId="BodyTextChar">
    <w:name w:val="Body Text Char"/>
    <w:basedOn w:val="DefaultParagraphFont"/>
    <w:link w:val="BodyText"/>
    <w:uiPriority w:val="1"/>
    <w:rsid w:val="000603B1"/>
    <w:rPr>
      <w:rFonts w:ascii="InterFace" w:eastAsia="Times New Roman" w:hAnsi="InterFace" w:cs="InterFace"/>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wp-content/uploads/2016/07/letter-contract-requirements.pdf" TargetMode="External"/><Relationship Id="rId4" Type="http://schemas.openxmlformats.org/officeDocument/2006/relationships/hyperlink" Target="https://www.england.nhs.uk/wp-content/uploads/2016/04/2-nhs-contrct-tech-guid-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1</cp:revision>
  <dcterms:created xsi:type="dcterms:W3CDTF">2016-09-13T08:23:00Z</dcterms:created>
  <dcterms:modified xsi:type="dcterms:W3CDTF">2016-09-13T08:24:00Z</dcterms:modified>
</cp:coreProperties>
</file>