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6D" w:rsidRPr="00572A6D" w:rsidRDefault="00572A6D" w:rsidP="00572A6D">
      <w:pPr>
        <w:widowControl w:val="0"/>
        <w:spacing w:before="8" w:after="0" w:line="240" w:lineRule="auto"/>
        <w:rPr>
          <w:rFonts w:ascii="InterFace" w:eastAsia="Times New Roman" w:hAnsi="InterFace" w:cs="InterFace"/>
          <w:sz w:val="14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40" w:lineRule="auto"/>
        <w:ind w:left="1194" w:right="1232"/>
        <w:outlineLvl w:val="1"/>
        <w:rPr>
          <w:rFonts w:ascii="InterFace" w:eastAsia="Times New Roman" w:hAnsi="InterFace" w:cs="InterFace"/>
          <w:b/>
          <w:bCs/>
          <w:sz w:val="19"/>
          <w:szCs w:val="19"/>
          <w:lang w:val="en-US"/>
        </w:rPr>
      </w:pPr>
      <w:bookmarkStart w:id="0" w:name="_bookmark6"/>
      <w:bookmarkEnd w:id="0"/>
      <w:r w:rsidRPr="00572A6D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>Template letter from practice to CCG regarding new standard contract breaches</w:t>
      </w:r>
    </w:p>
    <w:p w:rsidR="00572A6D" w:rsidRPr="00572A6D" w:rsidRDefault="00572A6D" w:rsidP="00572A6D">
      <w:pPr>
        <w:widowControl w:val="0"/>
        <w:spacing w:after="0" w:line="240" w:lineRule="auto"/>
        <w:rPr>
          <w:rFonts w:ascii="InterFace" w:eastAsia="Times New Roman" w:hAnsi="InterFace" w:cs="InterFace"/>
          <w:b/>
          <w:sz w:val="18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40" w:lineRule="auto"/>
        <w:rPr>
          <w:rFonts w:ascii="InterFace" w:eastAsia="Times New Roman" w:hAnsi="InterFace" w:cs="InterFace"/>
          <w:b/>
          <w:sz w:val="18"/>
          <w:szCs w:val="19"/>
          <w:lang w:val="en-US"/>
        </w:rPr>
      </w:pPr>
    </w:p>
    <w:p w:rsidR="00572A6D" w:rsidRPr="00572A6D" w:rsidRDefault="00572A6D" w:rsidP="00572A6D">
      <w:pPr>
        <w:widowControl w:val="0"/>
        <w:spacing w:before="7" w:after="0" w:line="240" w:lineRule="auto"/>
        <w:rPr>
          <w:rFonts w:ascii="InterFace" w:eastAsia="Times New Roman" w:hAnsi="InterFace" w:cs="InterFace"/>
          <w:b/>
          <w:sz w:val="26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Dear CCG Chair/Chief executive,</w:t>
      </w:r>
    </w:p>
    <w:p w:rsidR="00572A6D" w:rsidRPr="00572A6D" w:rsidRDefault="00572A6D" w:rsidP="00572A6D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40" w:lineRule="auto"/>
        <w:ind w:left="1194" w:right="1232"/>
        <w:outlineLvl w:val="1"/>
        <w:rPr>
          <w:rFonts w:ascii="InterFace" w:eastAsia="Times New Roman" w:hAnsi="InterFace" w:cs="InterFace"/>
          <w:b/>
          <w:bCs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>Implementation of changes to the standard hospital contract</w:t>
      </w:r>
    </w:p>
    <w:p w:rsidR="00572A6D" w:rsidRPr="00572A6D" w:rsidRDefault="00572A6D" w:rsidP="00572A6D">
      <w:pPr>
        <w:widowControl w:val="0"/>
        <w:spacing w:before="9" w:after="0" w:line="240" w:lineRule="auto"/>
        <w:rPr>
          <w:rFonts w:ascii="InterFace" w:eastAsia="Times New Roman" w:hAnsi="InterFace" w:cs="InterFace"/>
          <w:b/>
          <w:sz w:val="21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56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As you are aware, a </w:t>
      </w:r>
      <w:hyperlink r:id="rId5">
        <w:r w:rsidRPr="00572A6D">
          <w:rPr>
            <w:rFonts w:ascii="InterFace" w:eastAsia="Times New Roman" w:hAnsi="InterFace" w:cs="InterFace"/>
            <w:color w:val="0067B1"/>
            <w:sz w:val="19"/>
            <w:szCs w:val="19"/>
            <w:u w:val="single" w:color="0067B1"/>
            <w:lang w:val="en-US"/>
          </w:rPr>
          <w:t xml:space="preserve">new standard hospital contract </w:t>
        </w:r>
      </w:hyperlink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came into force on 1 April 2016, with new requirements to reduce inappropriate bureaucratic workload shift onto GP practices. You will also have received a </w:t>
      </w:r>
      <w:hyperlink r:id="rId6">
        <w:r w:rsidRPr="00572A6D">
          <w:rPr>
            <w:rFonts w:ascii="InterFace" w:eastAsia="Times New Roman" w:hAnsi="InterFace" w:cs="InterFace"/>
            <w:color w:val="0067B1"/>
            <w:sz w:val="19"/>
            <w:szCs w:val="19"/>
            <w:u w:val="single" w:color="0067B1"/>
            <w:lang w:val="en-US"/>
          </w:rPr>
          <w:t>letter from NHS England</w:t>
        </w:r>
      </w:hyperlink>
      <w:r w:rsidRPr="00572A6D">
        <w:rPr>
          <w:rFonts w:ascii="InterFace" w:eastAsia="Times New Roman" w:hAnsi="InterFace" w:cs="InterFace"/>
          <w:color w:val="0067B1"/>
          <w:sz w:val="19"/>
          <w:szCs w:val="19"/>
          <w:u w:val="single" w:color="0067B1"/>
          <w:lang w:val="en-US"/>
        </w:rPr>
        <w:t xml:space="preserve"> </w:t>
      </w: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reiterating the need for hospital providers to implement these new requirements.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56" w:lineRule="auto"/>
        <w:ind w:left="1194" w:right="1429"/>
        <w:rPr>
          <w:rFonts w:ascii="InterFace" w:eastAsia="Times New Roman" w:hAnsi="InterFace" w:cs="InterFace"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I am writing to advise you that [insert trust] has breached the following requirement in relation to patient [insert patient identifier]: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[Please tick as appropriate]</w:t>
      </w:r>
    </w:p>
    <w:p w:rsidR="00572A6D" w:rsidRPr="00572A6D" w:rsidRDefault="00572A6D" w:rsidP="00572A6D">
      <w:pPr>
        <w:widowControl w:val="0"/>
        <w:numPr>
          <w:ilvl w:val="0"/>
          <w:numId w:val="1"/>
        </w:numPr>
        <w:tabs>
          <w:tab w:val="left" w:pos="1422"/>
        </w:tabs>
        <w:spacing w:before="16" w:after="0" w:line="256" w:lineRule="auto"/>
        <w:ind w:right="1174"/>
        <w:rPr>
          <w:rFonts w:ascii="InterFace" w:eastAsia="Times New Roman" w:hAnsi="InterFace" w:cs="InterFace"/>
          <w:sz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Stopping hospitals adopting blanket policies under which patients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who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do not attend an outpatient clinic appointment are automatically discharged back to their GP for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re-referral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(this wastes an estimated </w:t>
      </w:r>
      <w:r w:rsidRPr="00572A6D">
        <w:rPr>
          <w:rFonts w:ascii="InterFace" w:eastAsia="Times New Roman" w:hAnsi="InterFace" w:cs="InterFace"/>
          <w:color w:val="575756"/>
          <w:spacing w:val="-6"/>
          <w:sz w:val="19"/>
          <w:lang w:val="en-US"/>
        </w:rPr>
        <w:t xml:space="preserve">15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million GP appointments per  </w:t>
      </w:r>
      <w:r w:rsidRPr="00572A6D">
        <w:rPr>
          <w:rFonts w:ascii="InterFace" w:eastAsia="Times New Roman" w:hAnsi="InterFace" w:cs="InterFace"/>
          <w:color w:val="575756"/>
          <w:spacing w:val="4"/>
          <w:sz w:val="19"/>
          <w:lang w:val="en-US"/>
        </w:rPr>
        <w:t xml:space="preserve">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>year).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numPr>
          <w:ilvl w:val="0"/>
          <w:numId w:val="1"/>
        </w:numPr>
        <w:tabs>
          <w:tab w:val="left" w:pos="1422"/>
        </w:tabs>
        <w:spacing w:after="0" w:line="256" w:lineRule="auto"/>
        <w:ind w:right="1198"/>
        <w:rPr>
          <w:rFonts w:ascii="InterFace" w:eastAsia="Times New Roman" w:hAnsi="InterFace" w:cs="InterFace"/>
          <w:sz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Enabling hospital onward referral to and treatment by another professional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within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the same provider for a related condition,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without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the need to refer back to the </w:t>
      </w:r>
      <w:r w:rsidRPr="00572A6D">
        <w:rPr>
          <w:rFonts w:ascii="InterFace" w:eastAsia="Times New Roman" w:hAnsi="InterFace" w:cs="InterFace"/>
          <w:color w:val="575756"/>
          <w:spacing w:val="-5"/>
          <w:sz w:val="19"/>
          <w:lang w:val="en-US"/>
        </w:rPr>
        <w:t xml:space="preserve">GP.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Re-referral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for GP approval is only required for onward referral of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non-urgent,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unrelated  </w:t>
      </w:r>
      <w:r w:rsidRPr="00572A6D">
        <w:rPr>
          <w:rFonts w:ascii="InterFace" w:eastAsia="Times New Roman" w:hAnsi="InterFace" w:cs="InterFace"/>
          <w:color w:val="575756"/>
          <w:spacing w:val="21"/>
          <w:sz w:val="19"/>
          <w:lang w:val="en-US"/>
        </w:rPr>
        <w:t xml:space="preserve">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>conditions.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numPr>
          <w:ilvl w:val="0"/>
          <w:numId w:val="1"/>
        </w:numPr>
        <w:tabs>
          <w:tab w:val="left" w:pos="1422"/>
        </w:tabs>
        <w:spacing w:after="0" w:line="256" w:lineRule="auto"/>
        <w:ind w:right="1360"/>
        <w:rPr>
          <w:rFonts w:ascii="InterFace" w:eastAsia="Times New Roman" w:hAnsi="InterFace" w:cs="InterFace"/>
          <w:sz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A requirement for hospitals to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notify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patients of the results of clinical investigations and treatments in an appropriate and cost-effective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manner;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for example, telephoning the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patient.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Therefore, GPs should not be inappropriately used to relay to patients results of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tests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>generated by hospital clinicians.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numPr>
          <w:ilvl w:val="0"/>
          <w:numId w:val="1"/>
        </w:numPr>
        <w:tabs>
          <w:tab w:val="left" w:pos="1422"/>
        </w:tabs>
        <w:spacing w:after="0" w:line="256" w:lineRule="auto"/>
        <w:ind w:right="1223"/>
        <w:rPr>
          <w:rFonts w:ascii="InterFace" w:eastAsia="Times New Roman" w:hAnsi="InterFace" w:cs="InterFace"/>
          <w:sz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Timely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clinic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letters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to GP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practices,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no later than </w:t>
      </w:r>
      <w:r w:rsidRPr="00572A6D">
        <w:rPr>
          <w:rFonts w:ascii="InterFace" w:eastAsia="Times New Roman" w:hAnsi="InterFace" w:cs="InterFace"/>
          <w:color w:val="575756"/>
          <w:spacing w:val="-6"/>
          <w:sz w:val="19"/>
          <w:lang w:val="en-US"/>
        </w:rPr>
        <w:t xml:space="preserve">14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days after the appointment, and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with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the intention of electronic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transmission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of clinic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letters within </w:t>
      </w:r>
      <w:r w:rsidRPr="00572A6D">
        <w:rPr>
          <w:rFonts w:ascii="InterFace" w:eastAsia="Times New Roman" w:hAnsi="InterFace" w:cs="InterFace"/>
          <w:color w:val="575756"/>
          <w:spacing w:val="-4"/>
          <w:sz w:val="19"/>
          <w:lang w:val="en-US"/>
        </w:rPr>
        <w:t xml:space="preserve">24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>hours in the future.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numPr>
          <w:ilvl w:val="0"/>
          <w:numId w:val="1"/>
        </w:numPr>
        <w:tabs>
          <w:tab w:val="left" w:pos="1422"/>
        </w:tabs>
        <w:spacing w:after="0" w:line="256" w:lineRule="auto"/>
        <w:ind w:right="1187"/>
        <w:rPr>
          <w:rFonts w:ascii="InterFace" w:eastAsia="Times New Roman" w:hAnsi="InterFace" w:cs="InterFace"/>
          <w:sz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A requirement to send discharge summaries by direct electronic or email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transmission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for inpatient, day case or A&amp;E care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within </w:t>
      </w:r>
      <w:r w:rsidRPr="00572A6D">
        <w:rPr>
          <w:rFonts w:ascii="InterFace" w:eastAsia="Times New Roman" w:hAnsi="InterFace" w:cs="InterFace"/>
          <w:color w:val="575756"/>
          <w:spacing w:val="-4"/>
          <w:sz w:val="19"/>
          <w:lang w:val="en-US"/>
        </w:rPr>
        <w:t xml:space="preserve">24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>hours.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numPr>
          <w:ilvl w:val="0"/>
          <w:numId w:val="1"/>
        </w:numPr>
        <w:tabs>
          <w:tab w:val="left" w:pos="1422"/>
        </w:tabs>
        <w:spacing w:after="0" w:line="256" w:lineRule="auto"/>
        <w:ind w:right="1469"/>
        <w:rPr>
          <w:rFonts w:ascii="InterFace" w:eastAsia="Times New Roman" w:hAnsi="InterFace" w:cs="InterFace"/>
          <w:sz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Providers to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supply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patients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with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medication following discharge from inpatient or day case care for the period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established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 xml:space="preserve">in local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lang w:val="en-US"/>
        </w:rPr>
        <w:t xml:space="preserve">practice </w:t>
      </w:r>
      <w:r w:rsidRPr="00572A6D">
        <w:rPr>
          <w:rFonts w:ascii="InterFace" w:eastAsia="Times New Roman" w:hAnsi="InterFace" w:cs="InterFace"/>
          <w:color w:val="575756"/>
          <w:sz w:val="19"/>
          <w:lang w:val="en-US"/>
        </w:rPr>
        <w:t>or protocols.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56" w:lineRule="auto"/>
        <w:ind w:left="1194" w:right="1429"/>
        <w:rPr>
          <w:rFonts w:ascii="InterFace" w:eastAsia="Times New Roman" w:hAnsi="InterFace" w:cs="InterFace"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I attach a copy of the letter which we sent to the trust on [insert date] in relation to this matter.</w:t>
      </w:r>
    </w:p>
    <w:p w:rsidR="00572A6D" w:rsidRPr="00572A6D" w:rsidRDefault="00572A6D" w:rsidP="00572A6D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56" w:lineRule="auto"/>
        <w:ind w:left="1194" w:right="1326"/>
        <w:rPr>
          <w:rFonts w:ascii="InterFace" w:eastAsia="Times New Roman" w:hAnsi="InterFace" w:cs="InterFace"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I would be grateful if you would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advise </w:t>
      </w: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what measures you will take in relation to this specific breach, as well as the measures which you, as the commissioner, are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taking </w:t>
      </w: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to ensure these new contract requirements are implemented to cease inappropriate bureaucratic burdens   on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GPs, </w:t>
      </w: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at a time when most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practices </w:t>
      </w: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are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struggling </w:t>
      </w: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to cope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with </w:t>
      </w:r>
      <w:proofErr w:type="gramStart"/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unsustainable </w:t>
      </w:r>
      <w:r w:rsidRPr="00572A6D">
        <w:rPr>
          <w:rFonts w:ascii="InterFace" w:eastAsia="Times New Roman" w:hAnsi="InterFace" w:cs="InterFace"/>
          <w:color w:val="575756"/>
          <w:spacing w:val="19"/>
          <w:sz w:val="19"/>
          <w:szCs w:val="19"/>
          <w:lang w:val="en-US"/>
        </w:rPr>
        <w:t xml:space="preserve"> </w:t>
      </w:r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>demands</w:t>
      </w:r>
      <w:proofErr w:type="gramEnd"/>
      <w:r w:rsidRPr="00572A6D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>.</w:t>
      </w:r>
    </w:p>
    <w:p w:rsidR="00572A6D" w:rsidRPr="00572A6D" w:rsidRDefault="00572A6D" w:rsidP="00572A6D">
      <w:pPr>
        <w:widowControl w:val="0"/>
        <w:spacing w:after="0" w:line="240" w:lineRule="auto"/>
        <w:rPr>
          <w:rFonts w:ascii="InterFace" w:eastAsia="Times New Roman" w:hAnsi="InterFace" w:cs="InterFace"/>
          <w:sz w:val="18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240" w:lineRule="auto"/>
        <w:rPr>
          <w:rFonts w:ascii="InterFace" w:eastAsia="Times New Roman" w:hAnsi="InterFace" w:cs="InterFace"/>
          <w:sz w:val="18"/>
          <w:szCs w:val="19"/>
          <w:lang w:val="en-US"/>
        </w:rPr>
      </w:pPr>
    </w:p>
    <w:p w:rsidR="00572A6D" w:rsidRPr="00572A6D" w:rsidRDefault="00572A6D" w:rsidP="00572A6D">
      <w:pPr>
        <w:widowControl w:val="0"/>
        <w:spacing w:before="3" w:after="0" w:line="240" w:lineRule="auto"/>
        <w:rPr>
          <w:rFonts w:ascii="InterFace" w:eastAsia="Times New Roman" w:hAnsi="InterFace" w:cs="InterFace"/>
          <w:sz w:val="25"/>
          <w:szCs w:val="19"/>
          <w:lang w:val="en-US"/>
        </w:rPr>
      </w:pPr>
    </w:p>
    <w:p w:rsidR="00572A6D" w:rsidRPr="00572A6D" w:rsidRDefault="00572A6D" w:rsidP="00572A6D">
      <w:pPr>
        <w:widowControl w:val="0"/>
        <w:spacing w:after="0" w:line="516" w:lineRule="auto"/>
        <w:ind w:left="1194" w:right="5635"/>
        <w:rPr>
          <w:rFonts w:ascii="InterFace" w:eastAsia="Times New Roman" w:hAnsi="InterFace" w:cs="InterFace"/>
          <w:sz w:val="19"/>
          <w:szCs w:val="19"/>
          <w:lang w:val="en-US"/>
        </w:rPr>
      </w:pPr>
      <w:r w:rsidRPr="00572A6D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I look forward to your response. Yours faithfully,</w:t>
      </w:r>
    </w:p>
    <w:p w:rsidR="001672A8" w:rsidRDefault="00572A6D">
      <w:bookmarkStart w:id="1" w:name="_GoBack"/>
      <w:bookmarkEnd w:id="1"/>
    </w:p>
    <w:sectPr w:rsidR="001672A8" w:rsidSect="00352C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Fac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3F1"/>
    <w:multiLevelType w:val="hybridMultilevel"/>
    <w:tmpl w:val="E4B47DCE"/>
    <w:lvl w:ilvl="0" w:tplc="DC4E405C">
      <w:start w:val="1"/>
      <w:numFmt w:val="bullet"/>
      <w:lvlText w:val="–"/>
      <w:lvlJc w:val="left"/>
      <w:pPr>
        <w:ind w:left="1421" w:hanging="227"/>
      </w:pPr>
      <w:rPr>
        <w:rFonts w:ascii="InterFace" w:eastAsia="Times New Roman" w:hAnsi="InterFace" w:hint="default"/>
        <w:color w:val="575756"/>
        <w:spacing w:val="-11"/>
        <w:w w:val="100"/>
        <w:sz w:val="19"/>
      </w:rPr>
    </w:lvl>
    <w:lvl w:ilvl="1" w:tplc="802A5064">
      <w:start w:val="1"/>
      <w:numFmt w:val="bullet"/>
      <w:lvlText w:val="•"/>
      <w:lvlJc w:val="left"/>
      <w:pPr>
        <w:ind w:left="2246" w:hanging="227"/>
      </w:pPr>
      <w:rPr>
        <w:rFonts w:hint="default"/>
      </w:rPr>
    </w:lvl>
    <w:lvl w:ilvl="2" w:tplc="64EE7168">
      <w:start w:val="1"/>
      <w:numFmt w:val="bullet"/>
      <w:lvlText w:val="•"/>
      <w:lvlJc w:val="left"/>
      <w:pPr>
        <w:ind w:left="3073" w:hanging="227"/>
      </w:pPr>
      <w:rPr>
        <w:rFonts w:hint="default"/>
      </w:rPr>
    </w:lvl>
    <w:lvl w:ilvl="3" w:tplc="FF24B70C">
      <w:start w:val="1"/>
      <w:numFmt w:val="bullet"/>
      <w:lvlText w:val="•"/>
      <w:lvlJc w:val="left"/>
      <w:pPr>
        <w:ind w:left="3899" w:hanging="227"/>
      </w:pPr>
      <w:rPr>
        <w:rFonts w:hint="default"/>
      </w:rPr>
    </w:lvl>
    <w:lvl w:ilvl="4" w:tplc="FF784330">
      <w:start w:val="1"/>
      <w:numFmt w:val="bullet"/>
      <w:lvlText w:val="•"/>
      <w:lvlJc w:val="left"/>
      <w:pPr>
        <w:ind w:left="4726" w:hanging="227"/>
      </w:pPr>
      <w:rPr>
        <w:rFonts w:hint="default"/>
      </w:rPr>
    </w:lvl>
    <w:lvl w:ilvl="5" w:tplc="D88E6132">
      <w:start w:val="1"/>
      <w:numFmt w:val="bullet"/>
      <w:lvlText w:val="•"/>
      <w:lvlJc w:val="left"/>
      <w:pPr>
        <w:ind w:left="5552" w:hanging="227"/>
      </w:pPr>
      <w:rPr>
        <w:rFonts w:hint="default"/>
      </w:rPr>
    </w:lvl>
    <w:lvl w:ilvl="6" w:tplc="2198324C">
      <w:start w:val="1"/>
      <w:numFmt w:val="bullet"/>
      <w:lvlText w:val="•"/>
      <w:lvlJc w:val="left"/>
      <w:pPr>
        <w:ind w:left="6379" w:hanging="227"/>
      </w:pPr>
      <w:rPr>
        <w:rFonts w:hint="default"/>
      </w:rPr>
    </w:lvl>
    <w:lvl w:ilvl="7" w:tplc="04A8FF0C">
      <w:start w:val="1"/>
      <w:numFmt w:val="bullet"/>
      <w:lvlText w:val="•"/>
      <w:lvlJc w:val="left"/>
      <w:pPr>
        <w:ind w:left="7205" w:hanging="227"/>
      </w:pPr>
      <w:rPr>
        <w:rFonts w:hint="default"/>
      </w:rPr>
    </w:lvl>
    <w:lvl w:ilvl="8" w:tplc="2CEEF5E6">
      <w:start w:val="1"/>
      <w:numFmt w:val="bullet"/>
      <w:lvlText w:val="•"/>
      <w:lvlJc w:val="left"/>
      <w:pPr>
        <w:ind w:left="803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6D"/>
    <w:rsid w:val="00572A6D"/>
    <w:rsid w:val="005C2E3D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A6E40-DD81-4FD6-8574-B1833AC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72A6D"/>
    <w:pPr>
      <w:widowControl w:val="0"/>
      <w:spacing w:after="0" w:line="240" w:lineRule="auto"/>
      <w:ind w:left="1194" w:right="1232"/>
      <w:outlineLvl w:val="1"/>
    </w:pPr>
    <w:rPr>
      <w:rFonts w:ascii="InterFace" w:eastAsia="Times New Roman" w:hAnsi="InterFace" w:cs="InterFace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72A6D"/>
    <w:rPr>
      <w:rFonts w:ascii="InterFace" w:eastAsia="Times New Roman" w:hAnsi="InterFace" w:cs="InterFace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72A6D"/>
    <w:pPr>
      <w:widowControl w:val="0"/>
      <w:spacing w:after="0" w:line="240" w:lineRule="auto"/>
    </w:pPr>
    <w:rPr>
      <w:rFonts w:ascii="InterFace" w:eastAsia="Times New Roman" w:hAnsi="InterFace" w:cs="InterFace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2A6D"/>
    <w:rPr>
      <w:rFonts w:ascii="InterFace" w:eastAsia="Times New Roman" w:hAnsi="InterFace" w:cs="InterFace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572A6D"/>
    <w:pPr>
      <w:widowControl w:val="0"/>
      <w:spacing w:before="1" w:after="0" w:line="240" w:lineRule="auto"/>
      <w:ind w:left="1421" w:right="1174" w:hanging="227"/>
    </w:pPr>
    <w:rPr>
      <w:rFonts w:ascii="InterFace" w:eastAsia="Times New Roman" w:hAnsi="InterFace" w:cs="InterFac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wp-content/uploads/2016/07/letter-contract-requirements.pdf" TargetMode="External"/><Relationship Id="rId5" Type="http://schemas.openxmlformats.org/officeDocument/2006/relationships/hyperlink" Target="https://www.england.nhs.uk/wp-content/uploads/2016/04/2-nhs-contrct-tech-guid-16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1</cp:revision>
  <dcterms:created xsi:type="dcterms:W3CDTF">2016-09-13T08:25:00Z</dcterms:created>
  <dcterms:modified xsi:type="dcterms:W3CDTF">2016-09-13T08:25:00Z</dcterms:modified>
</cp:coreProperties>
</file>