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61" w:rsidRPr="00702EB6" w:rsidRDefault="00F22D27" w:rsidP="00FE7B85">
      <w:pPr>
        <w:ind w:left="720" w:firstLine="720"/>
        <w:jc w:val="right"/>
        <w:rPr>
          <w:rFonts w:ascii="Arial" w:hAnsi="Arial" w:cs="Arial"/>
          <w:b/>
        </w:rPr>
      </w:pPr>
      <w:r>
        <w:rPr>
          <w:rFonts w:ascii="Arial" w:hAnsi="Arial" w:cs="Arial"/>
          <w:b/>
          <w:noProof/>
          <w:lang w:eastAsia="en-GB"/>
        </w:rPr>
        <w:drawing>
          <wp:anchor distT="0" distB="0" distL="114300" distR="114300" simplePos="0" relativeHeight="251661824" behindDoc="1" locked="0" layoutInCell="1" allowOverlap="1" wp14:anchorId="72C02D49" wp14:editId="51963FD5">
            <wp:simplePos x="0" y="0"/>
            <wp:positionH relativeFrom="column">
              <wp:posOffset>4370070</wp:posOffset>
            </wp:positionH>
            <wp:positionV relativeFrom="paragraph">
              <wp:posOffset>-790575</wp:posOffset>
            </wp:positionV>
            <wp:extent cx="2438400" cy="10972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97280"/>
                    </a:xfrm>
                    <a:prstGeom prst="rect">
                      <a:avLst/>
                    </a:prstGeom>
                    <a:noFill/>
                  </pic:spPr>
                </pic:pic>
              </a:graphicData>
            </a:graphic>
            <wp14:sizeRelH relativeFrom="page">
              <wp14:pctWidth>0</wp14:pctWidth>
            </wp14:sizeRelH>
            <wp14:sizeRelV relativeFrom="page">
              <wp14:pctHeight>0</wp14:pctHeight>
            </wp14:sizeRelV>
          </wp:anchor>
        </w:drawing>
      </w:r>
    </w:p>
    <w:p w:rsidR="006C29A1" w:rsidRPr="00715335" w:rsidRDefault="006C29A1" w:rsidP="005B500E">
      <w:pPr>
        <w:jc w:val="center"/>
        <w:rPr>
          <w:rFonts w:ascii="Arial" w:hAnsi="Arial" w:cs="Arial"/>
          <w:b/>
        </w:rPr>
      </w:pPr>
    </w:p>
    <w:p w:rsidR="00FF1649" w:rsidRPr="00F22D27" w:rsidRDefault="00EB2B61" w:rsidP="005B500E">
      <w:pPr>
        <w:jc w:val="center"/>
        <w:rPr>
          <w:rFonts w:ascii="Arial" w:hAnsi="Arial" w:cs="Arial"/>
          <w:b/>
        </w:rPr>
      </w:pPr>
      <w:r w:rsidRPr="00F22D27">
        <w:rPr>
          <w:rFonts w:ascii="Arial" w:hAnsi="Arial" w:cs="Arial"/>
          <w:b/>
        </w:rPr>
        <w:t xml:space="preserve">Service Specification for </w:t>
      </w:r>
      <w:r w:rsidR="00C64C73" w:rsidRPr="00F22D27">
        <w:rPr>
          <w:rFonts w:ascii="Arial" w:hAnsi="Arial" w:cs="Arial"/>
          <w:b/>
        </w:rPr>
        <w:t>IUCD</w:t>
      </w:r>
    </w:p>
    <w:p w:rsidR="00EB2B61" w:rsidRPr="00F22D27" w:rsidRDefault="009C728B" w:rsidP="005B500E">
      <w:pPr>
        <w:jc w:val="center"/>
        <w:rPr>
          <w:rFonts w:ascii="Arial" w:hAnsi="Arial" w:cs="Arial"/>
          <w:b/>
        </w:rPr>
      </w:pPr>
      <w:proofErr w:type="gramStart"/>
      <w:r w:rsidRPr="00F22D27">
        <w:rPr>
          <w:rFonts w:ascii="Arial" w:hAnsi="Arial" w:cs="Arial"/>
          <w:b/>
        </w:rPr>
        <w:t>for</w:t>
      </w:r>
      <w:proofErr w:type="gramEnd"/>
      <w:r w:rsidRPr="00F22D27">
        <w:rPr>
          <w:rFonts w:ascii="Arial" w:hAnsi="Arial" w:cs="Arial"/>
          <w:b/>
        </w:rPr>
        <w:t xml:space="preserve"> Heav</w:t>
      </w:r>
      <w:r w:rsidR="00DD4D55" w:rsidRPr="00F22D27">
        <w:rPr>
          <w:rFonts w:ascii="Arial" w:hAnsi="Arial" w:cs="Arial"/>
          <w:b/>
        </w:rPr>
        <w:t>y Menstrual Bleeding</w:t>
      </w:r>
      <w:r w:rsidR="00FF1649" w:rsidRPr="00F22D27">
        <w:rPr>
          <w:rFonts w:ascii="Arial" w:hAnsi="Arial" w:cs="Arial"/>
          <w:b/>
        </w:rPr>
        <w:t xml:space="preserve"> and control of bleeding for HRT</w:t>
      </w:r>
    </w:p>
    <w:p w:rsidR="00FF1649" w:rsidRPr="00F22D27" w:rsidRDefault="00FF1649" w:rsidP="005B500E">
      <w:pPr>
        <w:jc w:val="center"/>
        <w:rPr>
          <w:rFonts w:ascii="Arial" w:hAnsi="Arial" w:cs="Arial"/>
          <w:b/>
        </w:rPr>
      </w:pPr>
      <w:proofErr w:type="gramStart"/>
      <w:r w:rsidRPr="00F22D27">
        <w:rPr>
          <w:rFonts w:ascii="Arial" w:hAnsi="Arial" w:cs="Arial"/>
          <w:b/>
        </w:rPr>
        <w:t>for</w:t>
      </w:r>
      <w:proofErr w:type="gramEnd"/>
      <w:r w:rsidRPr="00F22D27">
        <w:rPr>
          <w:rFonts w:ascii="Arial" w:hAnsi="Arial" w:cs="Arial"/>
          <w:b/>
        </w:rPr>
        <w:t xml:space="preserve"> Women not requiring contraception.</w:t>
      </w:r>
    </w:p>
    <w:p w:rsidR="00EB2B61" w:rsidRPr="00715335" w:rsidRDefault="00EB2B61" w:rsidP="005B500E">
      <w:pPr>
        <w:tabs>
          <w:tab w:val="left" w:pos="1260"/>
        </w:tabs>
        <w:jc w:val="center"/>
        <w:rPr>
          <w:rFonts w:ascii="Arial" w:hAnsi="Arial" w:cs="Arial"/>
          <w:b/>
        </w:rPr>
      </w:pPr>
    </w:p>
    <w:p w:rsidR="00EB2B61" w:rsidRPr="00715335" w:rsidRDefault="00EB2B61" w:rsidP="005B500E">
      <w:pPr>
        <w:jc w:val="center"/>
        <w:rPr>
          <w:rFonts w:ascii="Arial" w:hAnsi="Arial" w:cs="Arial"/>
          <w:b/>
        </w:rPr>
      </w:pPr>
      <w:r w:rsidRPr="00715335">
        <w:rPr>
          <w:rFonts w:ascii="Arial" w:hAnsi="Arial" w:cs="Arial"/>
          <w:b/>
        </w:rPr>
        <w:t>Period: 1</w:t>
      </w:r>
      <w:r w:rsidRPr="00715335">
        <w:rPr>
          <w:rFonts w:ascii="Arial" w:hAnsi="Arial" w:cs="Arial"/>
          <w:b/>
          <w:vertAlign w:val="superscript"/>
        </w:rPr>
        <w:t>st</w:t>
      </w:r>
      <w:r w:rsidR="009C3EB7">
        <w:rPr>
          <w:rFonts w:ascii="Arial" w:hAnsi="Arial" w:cs="Arial"/>
          <w:b/>
        </w:rPr>
        <w:t xml:space="preserve"> April 201</w:t>
      </w:r>
      <w:r w:rsidR="00F22D27">
        <w:rPr>
          <w:rFonts w:ascii="Arial" w:hAnsi="Arial" w:cs="Arial"/>
          <w:b/>
        </w:rPr>
        <w:t>7</w:t>
      </w:r>
      <w:r w:rsidRPr="00715335">
        <w:rPr>
          <w:rFonts w:ascii="Arial" w:hAnsi="Arial" w:cs="Arial"/>
          <w:b/>
        </w:rPr>
        <w:t xml:space="preserve"> to 31</w:t>
      </w:r>
      <w:r w:rsidRPr="00715335">
        <w:rPr>
          <w:rFonts w:ascii="Arial" w:hAnsi="Arial" w:cs="Arial"/>
          <w:b/>
          <w:vertAlign w:val="superscript"/>
        </w:rPr>
        <w:t>st</w:t>
      </w:r>
      <w:r w:rsidR="00F22D27">
        <w:rPr>
          <w:rFonts w:ascii="Arial" w:hAnsi="Arial" w:cs="Arial"/>
          <w:b/>
        </w:rPr>
        <w:t xml:space="preserve"> March 2018</w:t>
      </w:r>
    </w:p>
    <w:p w:rsidR="006C29A1" w:rsidRPr="00715335" w:rsidRDefault="00EB2B61" w:rsidP="005B500E">
      <w:pPr>
        <w:jc w:val="center"/>
        <w:rPr>
          <w:rFonts w:ascii="Arial" w:hAnsi="Arial" w:cs="Arial"/>
          <w:b/>
        </w:rPr>
      </w:pPr>
      <w:r w:rsidRPr="00715335">
        <w:rPr>
          <w:rFonts w:ascii="Arial" w:hAnsi="Arial" w:cs="Arial"/>
          <w:b/>
        </w:rPr>
        <w:t>Date of Review: Annual</w:t>
      </w:r>
    </w:p>
    <w:p w:rsidR="003410C1" w:rsidRPr="00715335" w:rsidRDefault="003410C1" w:rsidP="005B500E">
      <w:pPr>
        <w:jc w:val="both"/>
        <w:rPr>
          <w:rFonts w:ascii="Arial" w:hAnsi="Arial" w:cs="Arial"/>
          <w:b/>
          <w:bCs/>
        </w:rPr>
      </w:pPr>
    </w:p>
    <w:p w:rsidR="00FD50CA" w:rsidRDefault="00FD50CA" w:rsidP="0065204A">
      <w:pPr>
        <w:numPr>
          <w:ilvl w:val="0"/>
          <w:numId w:val="45"/>
        </w:numPr>
        <w:jc w:val="both"/>
        <w:rPr>
          <w:rFonts w:ascii="Arial" w:hAnsi="Arial" w:cs="Arial"/>
          <w:b/>
          <w:bCs/>
        </w:rPr>
      </w:pPr>
      <w:r w:rsidRPr="00715335">
        <w:rPr>
          <w:rFonts w:ascii="Arial" w:hAnsi="Arial" w:cs="Arial"/>
          <w:b/>
          <w:bCs/>
        </w:rPr>
        <w:t>Introduction</w:t>
      </w:r>
    </w:p>
    <w:p w:rsidR="00513102" w:rsidRPr="00715335" w:rsidRDefault="00513102" w:rsidP="005B500E">
      <w:pPr>
        <w:jc w:val="both"/>
        <w:rPr>
          <w:rFonts w:ascii="Arial" w:hAnsi="Arial" w:cs="Arial"/>
          <w:b/>
          <w:bCs/>
        </w:rPr>
      </w:pPr>
    </w:p>
    <w:p w:rsidR="00363EEB" w:rsidRDefault="00FD50CA" w:rsidP="005B500E">
      <w:pPr>
        <w:jc w:val="both"/>
        <w:rPr>
          <w:rFonts w:ascii="Arial" w:hAnsi="Arial" w:cs="Arial"/>
        </w:rPr>
      </w:pPr>
      <w:r w:rsidRPr="00715335">
        <w:rPr>
          <w:rFonts w:ascii="Arial" w:hAnsi="Arial" w:cs="Arial"/>
        </w:rPr>
        <w:t xml:space="preserve">All practices are expected to provide essential </w:t>
      </w:r>
      <w:r w:rsidR="00363EEB">
        <w:rPr>
          <w:rFonts w:ascii="Arial" w:hAnsi="Arial" w:cs="Arial"/>
        </w:rPr>
        <w:t xml:space="preserve">services </w:t>
      </w:r>
      <w:r w:rsidRPr="00715335">
        <w:rPr>
          <w:rFonts w:ascii="Arial" w:hAnsi="Arial" w:cs="Arial"/>
        </w:rPr>
        <w:t>and those additional services they are contracted to provide to all their patients.</w:t>
      </w:r>
    </w:p>
    <w:p w:rsidR="00FD50CA" w:rsidRPr="00715335" w:rsidRDefault="00FD50CA" w:rsidP="005B500E">
      <w:pPr>
        <w:jc w:val="both"/>
        <w:rPr>
          <w:rFonts w:ascii="Arial" w:hAnsi="Arial" w:cs="Arial"/>
        </w:rPr>
      </w:pPr>
    </w:p>
    <w:p w:rsidR="00363EEB" w:rsidRDefault="00FD50CA" w:rsidP="005B500E">
      <w:pPr>
        <w:jc w:val="both"/>
        <w:rPr>
          <w:rFonts w:ascii="Arial" w:hAnsi="Arial" w:cs="Arial"/>
        </w:rPr>
      </w:pPr>
      <w:r w:rsidRPr="00715335">
        <w:rPr>
          <w:rFonts w:ascii="Arial" w:hAnsi="Arial" w:cs="Arial"/>
        </w:rPr>
        <w:t>This specification outlines the more specialised services to be provided.  The specification of this service is designed to cover the enhanced aspects of clinical care of the patient, all of which are beyond the scope of essential services.</w:t>
      </w:r>
    </w:p>
    <w:p w:rsidR="00FD50CA" w:rsidRPr="00715335" w:rsidRDefault="00FD50CA" w:rsidP="005B500E">
      <w:pPr>
        <w:jc w:val="both"/>
        <w:rPr>
          <w:rFonts w:ascii="Arial" w:hAnsi="Arial" w:cs="Arial"/>
        </w:rPr>
      </w:pPr>
    </w:p>
    <w:p w:rsidR="00363EEB" w:rsidRDefault="00FD50CA" w:rsidP="005B500E">
      <w:pPr>
        <w:jc w:val="both"/>
        <w:rPr>
          <w:rFonts w:ascii="Arial" w:hAnsi="Arial" w:cs="Arial"/>
        </w:rPr>
      </w:pPr>
      <w:r w:rsidRPr="00715335">
        <w:rPr>
          <w:rFonts w:ascii="Arial" w:hAnsi="Arial" w:cs="Arial"/>
        </w:rPr>
        <w:t>No part of the specification by commission, omission or implication defines or redefines essential or additional services.</w:t>
      </w:r>
    </w:p>
    <w:p w:rsidR="00363EEB" w:rsidRDefault="00363EEB" w:rsidP="005B500E">
      <w:pPr>
        <w:jc w:val="both"/>
        <w:rPr>
          <w:rFonts w:ascii="Arial" w:hAnsi="Arial" w:cs="Arial"/>
        </w:rPr>
      </w:pPr>
    </w:p>
    <w:p w:rsidR="00FF1649" w:rsidRPr="00715335" w:rsidRDefault="00FF1649" w:rsidP="005B500E">
      <w:pPr>
        <w:jc w:val="both"/>
        <w:rPr>
          <w:rFonts w:ascii="Arial" w:hAnsi="Arial" w:cs="Arial"/>
        </w:rPr>
      </w:pPr>
      <w:r w:rsidRPr="00715335">
        <w:rPr>
          <w:rFonts w:ascii="Arial" w:hAnsi="Arial" w:cs="Arial"/>
          <w:bCs/>
        </w:rPr>
        <w:t xml:space="preserve">This specification should be read in conjunction with the </w:t>
      </w:r>
      <w:r w:rsidRPr="00715335">
        <w:rPr>
          <w:rFonts w:ascii="Arial" w:hAnsi="Arial" w:cs="Arial"/>
        </w:rPr>
        <w:t xml:space="preserve">National Enhanced Service for Intra-uterine </w:t>
      </w:r>
      <w:r w:rsidR="00363EEB">
        <w:rPr>
          <w:rFonts w:ascii="Arial" w:hAnsi="Arial" w:cs="Arial"/>
        </w:rPr>
        <w:t>C</w:t>
      </w:r>
      <w:r w:rsidRPr="00715335">
        <w:rPr>
          <w:rFonts w:ascii="Arial" w:hAnsi="Arial" w:cs="Arial"/>
        </w:rPr>
        <w:t xml:space="preserve">ontraceptive </w:t>
      </w:r>
      <w:r w:rsidR="00363EEB">
        <w:rPr>
          <w:rFonts w:ascii="Arial" w:hAnsi="Arial" w:cs="Arial"/>
        </w:rPr>
        <w:t>D</w:t>
      </w:r>
      <w:r w:rsidRPr="00715335">
        <w:rPr>
          <w:rFonts w:ascii="Arial" w:hAnsi="Arial" w:cs="Arial"/>
        </w:rPr>
        <w:t xml:space="preserve">evice </w:t>
      </w:r>
      <w:r w:rsidR="00363EEB">
        <w:rPr>
          <w:rFonts w:ascii="Arial" w:hAnsi="Arial" w:cs="Arial"/>
        </w:rPr>
        <w:t>F</w:t>
      </w:r>
      <w:r w:rsidRPr="00715335">
        <w:rPr>
          <w:rFonts w:ascii="Arial" w:hAnsi="Arial" w:cs="Arial"/>
        </w:rPr>
        <w:t>ittings in Appendix 1.</w:t>
      </w:r>
      <w:r w:rsidR="00876811">
        <w:rPr>
          <w:rFonts w:ascii="Arial" w:hAnsi="Arial" w:cs="Arial"/>
        </w:rPr>
        <w:t xml:space="preserve"> This is included within this specification for reference only. </w:t>
      </w:r>
    </w:p>
    <w:p w:rsidR="00771871" w:rsidRPr="00715335" w:rsidRDefault="00771871" w:rsidP="005B500E">
      <w:pPr>
        <w:pStyle w:val="Heading2"/>
        <w:jc w:val="both"/>
        <w:rPr>
          <w:b/>
          <w:bCs/>
          <w:sz w:val="24"/>
        </w:rPr>
      </w:pPr>
    </w:p>
    <w:p w:rsidR="00363EEB" w:rsidRDefault="003410C1" w:rsidP="0065204A">
      <w:pPr>
        <w:pStyle w:val="Heading2"/>
        <w:numPr>
          <w:ilvl w:val="0"/>
          <w:numId w:val="45"/>
        </w:numPr>
        <w:jc w:val="both"/>
        <w:rPr>
          <w:b/>
          <w:bCs/>
          <w:sz w:val="24"/>
        </w:rPr>
      </w:pPr>
      <w:r w:rsidRPr="00715335">
        <w:rPr>
          <w:b/>
          <w:bCs/>
          <w:sz w:val="24"/>
        </w:rPr>
        <w:t>Background</w:t>
      </w:r>
    </w:p>
    <w:p w:rsidR="00CE3DD5" w:rsidRPr="00CE3DD5" w:rsidRDefault="00CE3DD5" w:rsidP="00CE3DD5"/>
    <w:p w:rsidR="00715335" w:rsidRPr="00363EEB" w:rsidRDefault="002221AA" w:rsidP="00CE3DD5">
      <w:pPr>
        <w:pStyle w:val="Heading2"/>
        <w:ind w:left="0" w:firstLine="0"/>
        <w:jc w:val="both"/>
        <w:rPr>
          <w:sz w:val="24"/>
          <w:lang w:val="en" w:eastAsia="en-GB"/>
        </w:rPr>
      </w:pPr>
      <w:r w:rsidRPr="00363EEB">
        <w:rPr>
          <w:sz w:val="24"/>
          <w:lang w:val="en" w:eastAsia="en-GB"/>
        </w:rPr>
        <w:t>An intrauterine contrac</w:t>
      </w:r>
      <w:r w:rsidR="00363EEB" w:rsidRPr="00363EEB">
        <w:rPr>
          <w:sz w:val="24"/>
          <w:lang w:val="en" w:eastAsia="en-GB"/>
        </w:rPr>
        <w:t>eptive device (IUCD) is a small</w:t>
      </w:r>
      <w:r w:rsidR="00363EEB">
        <w:rPr>
          <w:sz w:val="24"/>
          <w:lang w:val="en" w:eastAsia="en-GB"/>
        </w:rPr>
        <w:t xml:space="preserve"> </w:t>
      </w:r>
      <w:r w:rsidRPr="00363EEB">
        <w:rPr>
          <w:sz w:val="24"/>
          <w:lang w:val="en" w:eastAsia="en-GB"/>
        </w:rPr>
        <w:t>device made of plastic,</w:t>
      </w:r>
      <w:r w:rsidR="00CE3DD5">
        <w:rPr>
          <w:sz w:val="24"/>
          <w:lang w:val="en" w:eastAsia="en-GB"/>
        </w:rPr>
        <w:t xml:space="preserve"> </w:t>
      </w:r>
      <w:r w:rsidR="00363EEB" w:rsidRPr="00363EEB">
        <w:rPr>
          <w:sz w:val="24"/>
          <w:lang w:val="en" w:eastAsia="en-GB"/>
        </w:rPr>
        <w:t>sometimes with added copper or</w:t>
      </w:r>
      <w:r w:rsidR="00363EEB">
        <w:rPr>
          <w:sz w:val="24"/>
          <w:lang w:val="en" w:eastAsia="en-GB"/>
        </w:rPr>
        <w:t xml:space="preserve"> </w:t>
      </w:r>
      <w:r w:rsidRPr="00363EEB">
        <w:rPr>
          <w:sz w:val="24"/>
          <w:lang w:val="en" w:eastAsia="en-GB"/>
        </w:rPr>
        <w:t>added s</w:t>
      </w:r>
      <w:r w:rsidR="00363EEB">
        <w:rPr>
          <w:sz w:val="24"/>
          <w:lang w:val="en" w:eastAsia="en-GB"/>
        </w:rPr>
        <w:t xml:space="preserve">low-release </w:t>
      </w:r>
      <w:proofErr w:type="spellStart"/>
      <w:r w:rsidR="00363EEB">
        <w:rPr>
          <w:sz w:val="24"/>
          <w:lang w:val="en" w:eastAsia="en-GB"/>
        </w:rPr>
        <w:t>progestogen</w:t>
      </w:r>
      <w:proofErr w:type="spellEnd"/>
      <w:r w:rsidR="00363EEB">
        <w:rPr>
          <w:sz w:val="24"/>
          <w:lang w:val="en" w:eastAsia="en-GB"/>
        </w:rPr>
        <w:t>, that is</w:t>
      </w:r>
      <w:r w:rsidR="00CE3DD5">
        <w:rPr>
          <w:sz w:val="24"/>
          <w:lang w:val="en" w:eastAsia="en-GB"/>
        </w:rPr>
        <w:t xml:space="preserve"> </w:t>
      </w:r>
      <w:r w:rsidR="00363EEB" w:rsidRPr="00363EEB">
        <w:rPr>
          <w:sz w:val="24"/>
          <w:lang w:val="en" w:eastAsia="en-GB"/>
        </w:rPr>
        <w:t>placed into the</w:t>
      </w:r>
      <w:r w:rsidR="00363EEB">
        <w:rPr>
          <w:sz w:val="24"/>
          <w:lang w:val="en" w:eastAsia="en-GB"/>
        </w:rPr>
        <w:t xml:space="preserve"> </w:t>
      </w:r>
      <w:r w:rsidRPr="00363EEB">
        <w:rPr>
          <w:sz w:val="24"/>
          <w:lang w:val="en" w:eastAsia="en-GB"/>
        </w:rPr>
        <w:t>uterus as an effective me</w:t>
      </w:r>
      <w:r w:rsidR="00363EEB" w:rsidRPr="00363EEB">
        <w:rPr>
          <w:sz w:val="24"/>
          <w:lang w:val="en" w:eastAsia="en-GB"/>
        </w:rPr>
        <w:t xml:space="preserve">thod of contraception. </w:t>
      </w:r>
      <w:proofErr w:type="spellStart"/>
      <w:r w:rsidR="00363EEB" w:rsidRPr="00363EEB">
        <w:rPr>
          <w:sz w:val="24"/>
          <w:lang w:val="en" w:eastAsia="en-GB"/>
        </w:rPr>
        <w:t>Jaydess</w:t>
      </w:r>
      <w:proofErr w:type="spellEnd"/>
      <w:r w:rsidR="00363EEB" w:rsidRPr="00363EEB">
        <w:rPr>
          <w:sz w:val="24"/>
          <w:lang w:val="en" w:eastAsia="en-GB"/>
        </w:rPr>
        <w:t>®</w:t>
      </w:r>
      <w:r w:rsidR="00CE3DD5">
        <w:rPr>
          <w:sz w:val="24"/>
          <w:lang w:val="en" w:eastAsia="en-GB"/>
        </w:rPr>
        <w:t xml:space="preserve"> </w:t>
      </w:r>
      <w:r w:rsidRPr="00363EEB">
        <w:rPr>
          <w:sz w:val="24"/>
          <w:lang w:val="en" w:eastAsia="en-GB"/>
        </w:rPr>
        <w:t xml:space="preserve">and </w:t>
      </w:r>
      <w:proofErr w:type="spellStart"/>
      <w:r w:rsidRPr="00363EEB">
        <w:rPr>
          <w:sz w:val="24"/>
          <w:lang w:val="en" w:eastAsia="en-GB"/>
        </w:rPr>
        <w:t>Mirena</w:t>
      </w:r>
      <w:proofErr w:type="spellEnd"/>
      <w:r w:rsidRPr="00363EEB">
        <w:rPr>
          <w:sz w:val="24"/>
          <w:lang w:val="en" w:eastAsia="en-GB"/>
        </w:rPr>
        <w:t xml:space="preserve">®, the </w:t>
      </w:r>
      <w:proofErr w:type="spellStart"/>
      <w:r w:rsidRPr="00363EEB">
        <w:rPr>
          <w:sz w:val="24"/>
          <w:lang w:val="en" w:eastAsia="en-GB"/>
        </w:rPr>
        <w:t>levono</w:t>
      </w:r>
      <w:r w:rsidR="00363EEB" w:rsidRPr="00363EEB">
        <w:rPr>
          <w:sz w:val="24"/>
          <w:lang w:val="en" w:eastAsia="en-GB"/>
        </w:rPr>
        <w:t>rgestrel</w:t>
      </w:r>
      <w:proofErr w:type="spellEnd"/>
      <w:r w:rsidR="00363EEB" w:rsidRPr="00363EEB">
        <w:rPr>
          <w:sz w:val="24"/>
          <w:lang w:val="en" w:eastAsia="en-GB"/>
        </w:rPr>
        <w:t>-releasing intrauterine</w:t>
      </w:r>
      <w:r w:rsidR="00363EEB">
        <w:rPr>
          <w:sz w:val="24"/>
          <w:lang w:val="en" w:eastAsia="en-GB"/>
        </w:rPr>
        <w:t xml:space="preserve"> system</w:t>
      </w:r>
      <w:r w:rsidR="003D75EC">
        <w:rPr>
          <w:sz w:val="24"/>
          <w:lang w:val="en" w:eastAsia="en-GB"/>
        </w:rPr>
        <w:t>s (LNG-IUS),</w:t>
      </w:r>
      <w:r w:rsidR="00CE3DD5">
        <w:rPr>
          <w:sz w:val="24"/>
          <w:lang w:val="en" w:eastAsia="en-GB"/>
        </w:rPr>
        <w:t xml:space="preserve"> </w:t>
      </w:r>
      <w:r w:rsidR="00363EEB">
        <w:rPr>
          <w:sz w:val="24"/>
          <w:lang w:val="en" w:eastAsia="en-GB"/>
        </w:rPr>
        <w:t xml:space="preserve">are </w:t>
      </w:r>
      <w:r w:rsidR="00363EEB" w:rsidRPr="00363EEB">
        <w:rPr>
          <w:sz w:val="24"/>
          <w:lang w:val="en" w:eastAsia="en-GB"/>
        </w:rPr>
        <w:t>both classed as an IUS, not an</w:t>
      </w:r>
      <w:r w:rsidR="00363EEB">
        <w:rPr>
          <w:sz w:val="24"/>
          <w:lang w:val="en" w:eastAsia="en-GB"/>
        </w:rPr>
        <w:t xml:space="preserve"> </w:t>
      </w:r>
      <w:r w:rsidRPr="00363EEB">
        <w:rPr>
          <w:sz w:val="24"/>
          <w:lang w:val="en" w:eastAsia="en-GB"/>
        </w:rPr>
        <w:t xml:space="preserve">IUCD. </w:t>
      </w:r>
      <w:proofErr w:type="spellStart"/>
      <w:r w:rsidRPr="00363EEB">
        <w:rPr>
          <w:sz w:val="24"/>
          <w:lang w:val="en" w:eastAsia="en-GB"/>
        </w:rPr>
        <w:t>Mirena</w:t>
      </w:r>
      <w:proofErr w:type="spellEnd"/>
      <w:r w:rsidRPr="00363EEB">
        <w:rPr>
          <w:sz w:val="24"/>
          <w:lang w:val="en" w:eastAsia="en-GB"/>
        </w:rPr>
        <w:t>® is als</w:t>
      </w:r>
      <w:r w:rsidR="00363EEB">
        <w:rPr>
          <w:sz w:val="24"/>
          <w:lang w:val="en" w:eastAsia="en-GB"/>
        </w:rPr>
        <w:t>o licensed for the</w:t>
      </w:r>
      <w:r w:rsidR="00CE3DD5">
        <w:rPr>
          <w:sz w:val="24"/>
          <w:lang w:val="en" w:eastAsia="en-GB"/>
        </w:rPr>
        <w:t xml:space="preserve"> </w:t>
      </w:r>
      <w:r w:rsidR="00363EEB" w:rsidRPr="00363EEB">
        <w:rPr>
          <w:sz w:val="24"/>
          <w:lang w:val="en" w:eastAsia="en-GB"/>
        </w:rPr>
        <w:t>treatment of</w:t>
      </w:r>
      <w:r w:rsidR="00363EEB">
        <w:rPr>
          <w:sz w:val="24"/>
          <w:lang w:val="en" w:eastAsia="en-GB"/>
        </w:rPr>
        <w:t xml:space="preserve"> </w:t>
      </w:r>
      <w:r w:rsidRPr="00363EEB">
        <w:rPr>
          <w:sz w:val="24"/>
          <w:lang w:val="en" w:eastAsia="en-GB"/>
        </w:rPr>
        <w:t>menorrhagia</w:t>
      </w:r>
      <w:r w:rsidRPr="00715335">
        <w:rPr>
          <w:lang w:val="en" w:eastAsia="en-GB"/>
        </w:rPr>
        <w:t>.</w:t>
      </w:r>
    </w:p>
    <w:p w:rsidR="002221AA" w:rsidRPr="00715335" w:rsidRDefault="002221AA" w:rsidP="005B500E">
      <w:pPr>
        <w:spacing w:before="100" w:beforeAutospacing="1" w:after="100" w:afterAutospacing="1"/>
        <w:jc w:val="both"/>
        <w:rPr>
          <w:rFonts w:ascii="Arial" w:hAnsi="Arial" w:cs="Arial"/>
          <w:lang w:val="en" w:eastAsia="en-GB"/>
        </w:rPr>
      </w:pPr>
      <w:r w:rsidRPr="00715335">
        <w:rPr>
          <w:rFonts w:ascii="Arial" w:hAnsi="Arial" w:cs="Arial"/>
          <w:lang w:val="en" w:eastAsia="en-GB"/>
        </w:rPr>
        <w:t>This article covers the theory related to the practicalities of inse</w:t>
      </w:r>
      <w:r w:rsidR="00CE3DD5">
        <w:rPr>
          <w:rFonts w:ascii="Arial" w:hAnsi="Arial" w:cs="Arial"/>
          <w:lang w:val="en" w:eastAsia="en-GB"/>
        </w:rPr>
        <w:t xml:space="preserve">rting these devices. It is not a </w:t>
      </w:r>
      <w:r w:rsidRPr="00715335">
        <w:rPr>
          <w:rFonts w:ascii="Arial" w:hAnsi="Arial" w:cs="Arial"/>
          <w:lang w:val="en" w:eastAsia="en-GB"/>
        </w:rPr>
        <w:t>substitute for practical training: insertion of intrauterine devices should only be undertaken by an appropriately trained family planning professional who maintains competence by fitting at least one IUCD/IUS per month and attending regular updates in managing emergencies.</w:t>
      </w:r>
    </w:p>
    <w:p w:rsidR="002221AA" w:rsidRPr="00715335" w:rsidRDefault="002221AA" w:rsidP="005B500E">
      <w:pPr>
        <w:spacing w:before="100" w:beforeAutospacing="1" w:after="100" w:afterAutospacing="1"/>
        <w:jc w:val="both"/>
        <w:rPr>
          <w:rFonts w:ascii="Arial" w:hAnsi="Arial" w:cs="Arial"/>
          <w:lang w:val="en" w:eastAsia="en-GB"/>
        </w:rPr>
      </w:pPr>
      <w:r w:rsidRPr="00715335">
        <w:rPr>
          <w:rFonts w:ascii="Arial" w:hAnsi="Arial" w:cs="Arial"/>
          <w:lang w:val="en" w:eastAsia="en-GB"/>
        </w:rPr>
        <w:t>In the UK, an estimated 5% of the contraception population use IUCDs.</w:t>
      </w:r>
    </w:p>
    <w:p w:rsidR="00FE7B85" w:rsidRPr="00F22D27" w:rsidRDefault="002221AA" w:rsidP="00F22D27">
      <w:pPr>
        <w:spacing w:before="100" w:beforeAutospacing="1" w:after="100" w:afterAutospacing="1"/>
        <w:jc w:val="both"/>
        <w:rPr>
          <w:rFonts w:ascii="Arial" w:hAnsi="Arial" w:cs="Arial"/>
          <w:lang w:val="en" w:eastAsia="en-GB"/>
        </w:rPr>
      </w:pPr>
      <w:r w:rsidRPr="00715335">
        <w:rPr>
          <w:rFonts w:ascii="Arial" w:hAnsi="Arial" w:cs="Arial"/>
        </w:rPr>
        <w:t xml:space="preserve">The most up to date guidance published in September 2014 can be found at: </w:t>
      </w:r>
      <w:hyperlink r:id="rId9" w:history="1">
        <w:r w:rsidR="00F22D27" w:rsidRPr="007E182A">
          <w:rPr>
            <w:rStyle w:val="Hyperlink"/>
            <w:rFonts w:ascii="Arial" w:hAnsi="Arial" w:cs="Arial"/>
          </w:rPr>
          <w:t>http://pathways.nice.org.uk/pathways/long-acting-reversible-contraception</w:t>
        </w:r>
      </w:hyperlink>
      <w:r w:rsidR="00F22D27">
        <w:rPr>
          <w:rFonts w:ascii="Arial" w:hAnsi="Arial" w:cs="Arial"/>
          <w:lang w:val="en" w:eastAsia="en-GB"/>
        </w:rPr>
        <w:t xml:space="preserve"> </w:t>
      </w:r>
    </w:p>
    <w:p w:rsidR="007B0936" w:rsidRDefault="007B0936" w:rsidP="0065204A">
      <w:pPr>
        <w:pStyle w:val="BodyTextIndent2"/>
        <w:numPr>
          <w:ilvl w:val="0"/>
          <w:numId w:val="45"/>
        </w:numPr>
        <w:jc w:val="both"/>
        <w:rPr>
          <w:b/>
          <w:bCs/>
        </w:rPr>
      </w:pPr>
      <w:r w:rsidRPr="00715335">
        <w:rPr>
          <w:b/>
          <w:bCs/>
        </w:rPr>
        <w:t>Aims</w:t>
      </w:r>
    </w:p>
    <w:p w:rsidR="00CE3DD5" w:rsidRPr="00715335" w:rsidRDefault="00CE3DD5" w:rsidP="005B500E">
      <w:pPr>
        <w:pStyle w:val="BodyTextIndent2"/>
        <w:ind w:left="0"/>
        <w:jc w:val="both"/>
        <w:rPr>
          <w:b/>
          <w:bCs/>
        </w:rPr>
      </w:pPr>
    </w:p>
    <w:p w:rsidR="007B0936" w:rsidRDefault="007B0936" w:rsidP="005B500E">
      <w:pPr>
        <w:pStyle w:val="BodyTextIndent2"/>
        <w:ind w:left="0"/>
        <w:jc w:val="both"/>
      </w:pPr>
      <w:r w:rsidRPr="00715335">
        <w:t>Providing this service to all patients registered with a Doncaster GP would:</w:t>
      </w:r>
    </w:p>
    <w:p w:rsidR="00363EEB" w:rsidRPr="00715335" w:rsidRDefault="00363EEB" w:rsidP="005B500E">
      <w:pPr>
        <w:pStyle w:val="BodyTextIndent2"/>
        <w:ind w:left="0"/>
        <w:jc w:val="both"/>
      </w:pPr>
    </w:p>
    <w:p w:rsidR="007B0936" w:rsidRPr="00715335" w:rsidRDefault="007B0936" w:rsidP="005B500E">
      <w:pPr>
        <w:pStyle w:val="BodyTextIndent2"/>
        <w:numPr>
          <w:ilvl w:val="0"/>
          <w:numId w:val="37"/>
        </w:numPr>
        <w:jc w:val="both"/>
      </w:pPr>
      <w:r w:rsidRPr="00715335">
        <w:t>Help reduce inequality of care across Doncaster</w:t>
      </w:r>
    </w:p>
    <w:p w:rsidR="007B0936" w:rsidRPr="00715335" w:rsidRDefault="007B0936" w:rsidP="005B500E">
      <w:pPr>
        <w:pStyle w:val="BodyTextIndent2"/>
        <w:numPr>
          <w:ilvl w:val="0"/>
          <w:numId w:val="37"/>
        </w:numPr>
        <w:jc w:val="both"/>
      </w:pPr>
      <w:r w:rsidRPr="00715335">
        <w:t>Provide convenient primary care locations for all patients</w:t>
      </w:r>
    </w:p>
    <w:p w:rsidR="007B0936" w:rsidRPr="00715335" w:rsidRDefault="007B0936" w:rsidP="005B500E">
      <w:pPr>
        <w:pStyle w:val="BodyTextIndent2"/>
        <w:numPr>
          <w:ilvl w:val="0"/>
          <w:numId w:val="37"/>
        </w:numPr>
        <w:jc w:val="both"/>
      </w:pPr>
      <w:r w:rsidRPr="00715335">
        <w:t>Offer choice for all patients</w:t>
      </w:r>
    </w:p>
    <w:p w:rsidR="007B0936" w:rsidRPr="00715335" w:rsidRDefault="007B0936" w:rsidP="005B500E">
      <w:pPr>
        <w:pStyle w:val="BodyTextIndent2"/>
        <w:numPr>
          <w:ilvl w:val="0"/>
          <w:numId w:val="37"/>
        </w:numPr>
        <w:jc w:val="both"/>
      </w:pPr>
      <w:r w:rsidRPr="00715335">
        <w:lastRenderedPageBreak/>
        <w:t>Provide a cost effective alternative to secondary care supporting national and local CCG priorities and ensuring value for money</w:t>
      </w:r>
    </w:p>
    <w:p w:rsidR="007B0936" w:rsidRPr="00715335" w:rsidRDefault="007B0936" w:rsidP="005B500E">
      <w:pPr>
        <w:jc w:val="both"/>
        <w:rPr>
          <w:rFonts w:ascii="Arial" w:hAnsi="Arial" w:cs="Arial"/>
        </w:rPr>
      </w:pPr>
    </w:p>
    <w:p w:rsidR="003410C1" w:rsidRDefault="003410C1" w:rsidP="0065204A">
      <w:pPr>
        <w:pStyle w:val="Heading1"/>
        <w:numPr>
          <w:ilvl w:val="0"/>
          <w:numId w:val="45"/>
        </w:numPr>
        <w:jc w:val="both"/>
        <w:rPr>
          <w:b/>
          <w:bCs/>
          <w:sz w:val="24"/>
        </w:rPr>
      </w:pPr>
      <w:r w:rsidRPr="00715335">
        <w:rPr>
          <w:b/>
          <w:bCs/>
          <w:sz w:val="24"/>
        </w:rPr>
        <w:t>Service Outline</w:t>
      </w:r>
    </w:p>
    <w:p w:rsidR="00FE7B85" w:rsidRPr="00FE7B85" w:rsidRDefault="00FE7B85" w:rsidP="00FE7B85"/>
    <w:p w:rsidR="002221AA" w:rsidRDefault="002221AA" w:rsidP="005B500E">
      <w:pPr>
        <w:pStyle w:val="BodyTextIndent2"/>
        <w:ind w:left="0"/>
        <w:jc w:val="both"/>
      </w:pPr>
      <w:r w:rsidRPr="00715335">
        <w:t>This service is intended to fund:</w:t>
      </w:r>
    </w:p>
    <w:p w:rsidR="00363EEB" w:rsidRPr="00715335" w:rsidRDefault="00363EEB" w:rsidP="005B500E">
      <w:pPr>
        <w:pStyle w:val="BodyTextIndent2"/>
        <w:ind w:left="0"/>
        <w:jc w:val="both"/>
      </w:pPr>
    </w:p>
    <w:p w:rsidR="002221AA" w:rsidRPr="00715335" w:rsidRDefault="002221AA" w:rsidP="005B500E">
      <w:pPr>
        <w:pStyle w:val="BodyTextIndent2"/>
        <w:numPr>
          <w:ilvl w:val="0"/>
          <w:numId w:val="39"/>
        </w:numPr>
        <w:jc w:val="both"/>
      </w:pPr>
      <w:r w:rsidRPr="00715335">
        <w:t>Fitting, monitoring, checking and removal of IUCDs/IUS</w:t>
      </w:r>
      <w:r w:rsidR="00DD4D55" w:rsidRPr="00715335">
        <w:t xml:space="preserve"> for heavily menstrual bleeding</w:t>
      </w:r>
      <w:r w:rsidRPr="00715335">
        <w:t xml:space="preserve"> where appropriate</w:t>
      </w:r>
    </w:p>
    <w:p w:rsidR="002F4D1E" w:rsidRPr="00715335" w:rsidRDefault="002F4D1E" w:rsidP="005B500E">
      <w:pPr>
        <w:pStyle w:val="BodyTextIndent2"/>
        <w:numPr>
          <w:ilvl w:val="0"/>
          <w:numId w:val="39"/>
        </w:numPr>
        <w:jc w:val="both"/>
      </w:pPr>
      <w:r w:rsidRPr="00715335">
        <w:t>IUCD</w:t>
      </w:r>
      <w:r w:rsidR="00DC20D8" w:rsidRPr="00715335">
        <w:t>/IUS</w:t>
      </w:r>
      <w:r w:rsidRPr="00715335">
        <w:t xml:space="preserve"> fit</w:t>
      </w:r>
      <w:r w:rsidR="003D75EC">
        <w:t>ting</w:t>
      </w:r>
      <w:r w:rsidR="00DD4D55" w:rsidRPr="00715335">
        <w:t xml:space="preserve"> for heavy menstrual bleeding</w:t>
      </w:r>
      <w:r w:rsidRPr="00715335">
        <w:t xml:space="preserve"> to include</w:t>
      </w:r>
      <w:r w:rsidR="00C31727">
        <w:t xml:space="preserve"> a </w:t>
      </w:r>
      <w:r w:rsidRPr="00715335">
        <w:t>6 week review as per NES guidance</w:t>
      </w:r>
    </w:p>
    <w:p w:rsidR="003410C1" w:rsidRPr="00715335" w:rsidRDefault="002F4D1E" w:rsidP="005B500E">
      <w:pPr>
        <w:pStyle w:val="BodyTextIndent2"/>
        <w:numPr>
          <w:ilvl w:val="0"/>
          <w:numId w:val="39"/>
        </w:numPr>
        <w:jc w:val="both"/>
      </w:pPr>
      <w:r w:rsidRPr="00715335">
        <w:t>IUCD</w:t>
      </w:r>
      <w:r w:rsidR="00DC20D8" w:rsidRPr="00715335">
        <w:t>/IUS</w:t>
      </w:r>
      <w:r w:rsidRPr="00715335">
        <w:t xml:space="preserve"> annual review</w:t>
      </w:r>
    </w:p>
    <w:p w:rsidR="003D75EC" w:rsidRDefault="002F4D1E" w:rsidP="005B500E">
      <w:pPr>
        <w:pStyle w:val="BodyTextIndent2"/>
        <w:numPr>
          <w:ilvl w:val="0"/>
          <w:numId w:val="39"/>
        </w:numPr>
        <w:jc w:val="both"/>
      </w:pPr>
      <w:r w:rsidRPr="00715335">
        <w:t>IUCD</w:t>
      </w:r>
      <w:r w:rsidR="00DC20D8" w:rsidRPr="00715335">
        <w:t>/IUS</w:t>
      </w:r>
      <w:r w:rsidRPr="00715335">
        <w:t xml:space="preserve"> removal of dev</w:t>
      </w:r>
      <w:r w:rsidR="00C31727">
        <w:t>ices not fitted by the practice</w:t>
      </w:r>
    </w:p>
    <w:p w:rsidR="001C4FCB" w:rsidRDefault="001C4FCB" w:rsidP="001C4FCB">
      <w:pPr>
        <w:pStyle w:val="BodyTextIndent2"/>
        <w:ind w:left="0"/>
        <w:jc w:val="both"/>
      </w:pPr>
    </w:p>
    <w:p w:rsidR="001C4FCB" w:rsidRDefault="001C4FCB" w:rsidP="001C4FCB">
      <w:pPr>
        <w:pStyle w:val="BodyTextIndent2"/>
        <w:ind w:left="0"/>
        <w:jc w:val="both"/>
      </w:pPr>
      <w:r>
        <w:t xml:space="preserve">Prior to referral into the service patients must have the relevant swabs/STI screening undertaken and be provided with a prescription for the appropriate IUCD/IUS device by their registered practice. For patients who have been referred without this prior work up, it is the responsibility of the practice providing the service to undertake the relevant swabs/STI screening and make arrangements with the referring practice regarding obtaining a script for the appropriate IUCD/IUS device. </w:t>
      </w:r>
    </w:p>
    <w:p w:rsidR="003410C1" w:rsidRPr="001C4FCB" w:rsidRDefault="003410C1" w:rsidP="001C4FCB">
      <w:pPr>
        <w:pStyle w:val="Heading4"/>
        <w:numPr>
          <w:ilvl w:val="0"/>
          <w:numId w:val="45"/>
        </w:numPr>
        <w:spacing w:after="0"/>
        <w:jc w:val="both"/>
        <w:rPr>
          <w:rFonts w:ascii="Arial" w:hAnsi="Arial" w:cs="Arial"/>
          <w:bCs w:val="0"/>
          <w:sz w:val="24"/>
          <w:szCs w:val="24"/>
        </w:rPr>
      </w:pPr>
      <w:r w:rsidRPr="001C4FCB">
        <w:rPr>
          <w:rFonts w:ascii="Arial" w:hAnsi="Arial" w:cs="Arial"/>
          <w:bCs w:val="0"/>
          <w:sz w:val="24"/>
          <w:szCs w:val="24"/>
        </w:rPr>
        <w:t>Accreditation</w:t>
      </w:r>
    </w:p>
    <w:p w:rsidR="00FE7B85" w:rsidRPr="00FE7B85" w:rsidRDefault="00FE7B85" w:rsidP="00FE7B85"/>
    <w:p w:rsidR="003410C1" w:rsidRDefault="003410C1" w:rsidP="005B500E">
      <w:pPr>
        <w:pStyle w:val="BodyText"/>
        <w:rPr>
          <w:rFonts w:cs="Arial"/>
        </w:rPr>
      </w:pPr>
      <w:r w:rsidRPr="00715335">
        <w:rPr>
          <w:rFonts w:cs="Arial"/>
        </w:rPr>
        <w:t>Practitioners involved in the delivery of this service will be approp</w:t>
      </w:r>
      <w:r w:rsidR="007B30D1" w:rsidRPr="00715335">
        <w:rPr>
          <w:rFonts w:cs="Arial"/>
        </w:rPr>
        <w:t xml:space="preserve">riately trained and competent. </w:t>
      </w:r>
      <w:r w:rsidRPr="00715335">
        <w:rPr>
          <w:rFonts w:cs="Arial"/>
        </w:rPr>
        <w:t xml:space="preserve">It is expected that the practitioner will have appropriate training and experience of working in a Gynaecology Unit and demonstrate </w:t>
      </w:r>
      <w:proofErr w:type="spellStart"/>
      <w:r w:rsidRPr="00715335">
        <w:rPr>
          <w:rFonts w:cs="Arial"/>
        </w:rPr>
        <w:t>ongoing</w:t>
      </w:r>
      <w:proofErr w:type="spellEnd"/>
      <w:r w:rsidRPr="00715335">
        <w:rPr>
          <w:rFonts w:cs="Arial"/>
        </w:rPr>
        <w:t xml:space="preserve"> activity in this field to maintain competency.</w:t>
      </w:r>
    </w:p>
    <w:p w:rsidR="00363EEB" w:rsidRPr="00715335" w:rsidRDefault="00363EEB" w:rsidP="005B500E">
      <w:pPr>
        <w:pStyle w:val="BodyText"/>
        <w:rPr>
          <w:rFonts w:cs="Arial"/>
        </w:rPr>
      </w:pPr>
    </w:p>
    <w:p w:rsidR="003410C1" w:rsidRPr="00715335" w:rsidRDefault="003410C1" w:rsidP="005B500E">
      <w:pPr>
        <w:pStyle w:val="BodyText"/>
        <w:rPr>
          <w:rFonts w:cs="Arial"/>
        </w:rPr>
      </w:pPr>
      <w:r w:rsidRPr="00715335">
        <w:rPr>
          <w:rFonts w:cs="Arial"/>
        </w:rPr>
        <w:t xml:space="preserve">In accordance with Good Medical Practice guidelines </w:t>
      </w:r>
      <w:r w:rsidR="00ED0166" w:rsidRPr="00715335">
        <w:rPr>
          <w:rFonts w:cs="Arial"/>
        </w:rPr>
        <w:t>service providers must</w:t>
      </w:r>
      <w:r w:rsidRPr="00715335">
        <w:rPr>
          <w:rFonts w:cs="Arial"/>
        </w:rPr>
        <w:t xml:space="preserve"> </w:t>
      </w:r>
      <w:r w:rsidR="00ED0166" w:rsidRPr="00715335">
        <w:rPr>
          <w:rFonts w:cs="Arial"/>
        </w:rPr>
        <w:t>self-certify</w:t>
      </w:r>
      <w:r w:rsidRPr="00715335">
        <w:rPr>
          <w:rFonts w:cs="Arial"/>
        </w:rPr>
        <w:t xml:space="preserve"> that they have the appropriate training and experience and that they will abide by the </w:t>
      </w:r>
      <w:r w:rsidR="00FE7B85">
        <w:rPr>
          <w:rFonts w:cs="Arial"/>
        </w:rPr>
        <w:t>Good Medical P</w:t>
      </w:r>
      <w:r w:rsidRPr="00715335">
        <w:rPr>
          <w:rFonts w:cs="Arial"/>
        </w:rPr>
        <w:t>ractice guidelines and ensure that they keep their knowledge and skill</w:t>
      </w:r>
      <w:r w:rsidR="00FE7B85">
        <w:rPr>
          <w:rFonts w:cs="Arial"/>
        </w:rPr>
        <w:t>s</w:t>
      </w:r>
      <w:r w:rsidRPr="00715335">
        <w:rPr>
          <w:rFonts w:cs="Arial"/>
        </w:rPr>
        <w:t xml:space="preserve"> up to date throughout the time that they are providing this </w:t>
      </w:r>
      <w:r w:rsidR="00ED0166" w:rsidRPr="00715335">
        <w:rPr>
          <w:rFonts w:cs="Arial"/>
        </w:rPr>
        <w:t>service.</w:t>
      </w:r>
    </w:p>
    <w:p w:rsidR="003410C1" w:rsidRPr="00715335" w:rsidRDefault="003410C1" w:rsidP="005B500E">
      <w:pPr>
        <w:pStyle w:val="BodyText"/>
        <w:rPr>
          <w:rFonts w:cs="Arial"/>
        </w:rPr>
      </w:pPr>
    </w:p>
    <w:p w:rsidR="00DC20D8" w:rsidRPr="00715335" w:rsidRDefault="00DC20D8" w:rsidP="005B500E">
      <w:pPr>
        <w:pStyle w:val="BodyText"/>
        <w:rPr>
          <w:rFonts w:cs="Arial"/>
          <w:u w:val="single"/>
        </w:rPr>
      </w:pPr>
      <w:r w:rsidRPr="00715335">
        <w:rPr>
          <w:rFonts w:cs="Arial"/>
        </w:rPr>
        <w:t>GPs should be consistently fitting more than 12 IUCD/IUS a year which can be a combination of IUCD fit</w:t>
      </w:r>
      <w:r w:rsidR="00296159">
        <w:rPr>
          <w:rFonts w:cs="Arial"/>
        </w:rPr>
        <w:t>ting</w:t>
      </w:r>
      <w:r w:rsidRPr="00715335">
        <w:rPr>
          <w:rFonts w:cs="Arial"/>
        </w:rPr>
        <w:t xml:space="preserve"> and Endometrial Biopsy. </w:t>
      </w:r>
      <w:r w:rsidRPr="00715335">
        <w:rPr>
          <w:rFonts w:cs="Arial"/>
          <w:u w:val="single"/>
        </w:rPr>
        <w:t xml:space="preserve">If GPs are providing IUCD/IUS services with another </w:t>
      </w:r>
      <w:r w:rsidR="00003174" w:rsidRPr="00715335">
        <w:rPr>
          <w:rFonts w:cs="Arial"/>
          <w:u w:val="single"/>
        </w:rPr>
        <w:t>commissioner</w:t>
      </w:r>
      <w:r w:rsidRPr="00715335">
        <w:rPr>
          <w:rFonts w:cs="Arial"/>
          <w:u w:val="single"/>
        </w:rPr>
        <w:t>, the practice can count those procedures towards the minimum requirement per year.</w:t>
      </w:r>
    </w:p>
    <w:p w:rsidR="001C4FCB" w:rsidRDefault="001C4FCB" w:rsidP="005B500E">
      <w:pPr>
        <w:jc w:val="both"/>
        <w:rPr>
          <w:rFonts w:ascii="Arial" w:hAnsi="Arial" w:cs="Arial"/>
          <w:b/>
        </w:rPr>
      </w:pPr>
    </w:p>
    <w:p w:rsidR="001C4FCB" w:rsidRPr="00715335" w:rsidRDefault="001C4FCB" w:rsidP="005B500E">
      <w:pPr>
        <w:jc w:val="both"/>
        <w:rPr>
          <w:rFonts w:ascii="Arial" w:hAnsi="Arial" w:cs="Arial"/>
          <w:b/>
        </w:rPr>
      </w:pPr>
    </w:p>
    <w:p w:rsidR="00296159" w:rsidRDefault="00FD50CA" w:rsidP="0065204A">
      <w:pPr>
        <w:numPr>
          <w:ilvl w:val="0"/>
          <w:numId w:val="45"/>
        </w:numPr>
        <w:jc w:val="both"/>
        <w:rPr>
          <w:rFonts w:ascii="Arial" w:hAnsi="Arial" w:cs="Arial"/>
          <w:b/>
        </w:rPr>
      </w:pPr>
      <w:r w:rsidRPr="00715335">
        <w:rPr>
          <w:rFonts w:ascii="Arial" w:hAnsi="Arial" w:cs="Arial"/>
          <w:b/>
        </w:rPr>
        <w:t>Performance and Payment</w:t>
      </w:r>
    </w:p>
    <w:p w:rsidR="00FE7B85" w:rsidRPr="00715335" w:rsidRDefault="00FE7B85" w:rsidP="005B500E">
      <w:pPr>
        <w:jc w:val="both"/>
        <w:rPr>
          <w:rFonts w:ascii="Arial" w:hAnsi="Arial" w:cs="Arial"/>
          <w:b/>
        </w:rPr>
      </w:pPr>
    </w:p>
    <w:p w:rsidR="00BA1E24" w:rsidRDefault="00FD50CA" w:rsidP="005B500E">
      <w:pPr>
        <w:jc w:val="both"/>
        <w:rPr>
          <w:rFonts w:ascii="Arial" w:hAnsi="Arial" w:cs="Arial"/>
          <w:b/>
        </w:rPr>
      </w:pPr>
      <w:r w:rsidRPr="00715335">
        <w:rPr>
          <w:rFonts w:ascii="Arial" w:hAnsi="Arial" w:cs="Arial"/>
        </w:rPr>
        <w:t>Activity data should be submitted on a monthly basis to the CCG</w:t>
      </w:r>
      <w:r w:rsidR="008250B3">
        <w:rPr>
          <w:rFonts w:ascii="Arial" w:hAnsi="Arial" w:cs="Arial"/>
        </w:rPr>
        <w:t xml:space="preserve">. </w:t>
      </w:r>
      <w:r w:rsidRPr="00715335">
        <w:rPr>
          <w:rFonts w:ascii="Arial" w:hAnsi="Arial" w:cs="Arial"/>
        </w:rPr>
        <w:t>The practice will be required to submit audit information on request.</w:t>
      </w:r>
      <w:r w:rsidR="008250B3">
        <w:rPr>
          <w:rFonts w:ascii="Arial" w:hAnsi="Arial" w:cs="Arial"/>
          <w:b/>
        </w:rPr>
        <w:t xml:space="preserve"> </w:t>
      </w:r>
    </w:p>
    <w:p w:rsidR="00BA1E24" w:rsidRDefault="00BA1E24" w:rsidP="005B500E">
      <w:pPr>
        <w:jc w:val="both"/>
        <w:rPr>
          <w:rFonts w:ascii="Arial" w:hAnsi="Arial" w:cs="Arial"/>
          <w:b/>
        </w:rPr>
      </w:pPr>
    </w:p>
    <w:p w:rsidR="00FE7B85" w:rsidRDefault="00FD50CA" w:rsidP="005B500E">
      <w:pPr>
        <w:jc w:val="both"/>
        <w:rPr>
          <w:rFonts w:ascii="Arial" w:hAnsi="Arial" w:cs="Arial"/>
          <w:b/>
        </w:rPr>
      </w:pPr>
      <w:r w:rsidRPr="00715335">
        <w:rPr>
          <w:rFonts w:ascii="Arial" w:hAnsi="Arial" w:cs="Arial"/>
        </w:rPr>
        <w:t>Activity should be submitted within 14 days of month end for activity undertaken in month</w:t>
      </w:r>
      <w:r w:rsidR="007C7BFA">
        <w:rPr>
          <w:rFonts w:ascii="Arial" w:hAnsi="Arial" w:cs="Arial"/>
        </w:rPr>
        <w:t>, with the exception of March activity which should be received within 7 days of month end</w:t>
      </w:r>
      <w:r w:rsidRPr="00715335">
        <w:rPr>
          <w:rFonts w:ascii="Arial" w:hAnsi="Arial" w:cs="Arial"/>
        </w:rPr>
        <w:t>.</w:t>
      </w:r>
      <w:r w:rsidR="008250B3">
        <w:rPr>
          <w:rFonts w:ascii="Arial" w:hAnsi="Arial" w:cs="Arial"/>
          <w:b/>
        </w:rPr>
        <w:t xml:space="preserve"> </w:t>
      </w:r>
    </w:p>
    <w:p w:rsidR="00FE7B85" w:rsidRPr="008250B3" w:rsidRDefault="00FE7B85" w:rsidP="005B500E">
      <w:pPr>
        <w:jc w:val="both"/>
        <w:rPr>
          <w:rFonts w:ascii="Arial" w:hAnsi="Arial" w:cs="Arial"/>
          <w:b/>
        </w:rPr>
      </w:pPr>
    </w:p>
    <w:p w:rsidR="00FD50CA" w:rsidRPr="00715335" w:rsidRDefault="00FE7B85" w:rsidP="005B500E">
      <w:pPr>
        <w:tabs>
          <w:tab w:val="left" w:pos="0"/>
        </w:tabs>
        <w:jc w:val="both"/>
        <w:rPr>
          <w:rFonts w:ascii="Arial" w:hAnsi="Arial" w:cs="Arial"/>
        </w:rPr>
      </w:pPr>
      <w:r>
        <w:rPr>
          <w:rFonts w:ascii="Arial" w:hAnsi="Arial" w:cs="Arial"/>
        </w:rPr>
        <w:t xml:space="preserve">The </w:t>
      </w:r>
      <w:r w:rsidR="00FD50CA" w:rsidRPr="00715335">
        <w:rPr>
          <w:rFonts w:ascii="Arial" w:hAnsi="Arial" w:cs="Arial"/>
        </w:rPr>
        <w:t>CCG reserve</w:t>
      </w:r>
      <w:r w:rsidR="007C7BFA">
        <w:rPr>
          <w:rFonts w:ascii="Arial" w:hAnsi="Arial" w:cs="Arial"/>
        </w:rPr>
        <w:t>s</w:t>
      </w:r>
      <w:r w:rsidR="00FD50CA" w:rsidRPr="00715335">
        <w:rPr>
          <w:rFonts w:ascii="Arial" w:hAnsi="Arial" w:cs="Arial"/>
        </w:rPr>
        <w:t xml:space="preserve"> the right to withhold payment on activity not </w:t>
      </w:r>
      <w:r w:rsidR="001F4B9B">
        <w:rPr>
          <w:rFonts w:ascii="Arial" w:hAnsi="Arial" w:cs="Arial"/>
        </w:rPr>
        <w:t xml:space="preserve">claimed </w:t>
      </w:r>
      <w:r w:rsidR="00FD50CA" w:rsidRPr="00715335">
        <w:rPr>
          <w:rFonts w:ascii="Arial" w:hAnsi="Arial" w:cs="Arial"/>
        </w:rPr>
        <w:t>within these time scales</w:t>
      </w:r>
      <w:r w:rsidR="005043DD" w:rsidRPr="00715335">
        <w:rPr>
          <w:rFonts w:ascii="Arial" w:hAnsi="Arial" w:cs="Arial"/>
        </w:rPr>
        <w:t>.</w:t>
      </w:r>
    </w:p>
    <w:p w:rsidR="0033057F" w:rsidRDefault="0033057F" w:rsidP="005B500E">
      <w:pPr>
        <w:jc w:val="both"/>
        <w:rPr>
          <w:rFonts w:ascii="Arial" w:hAnsi="Arial" w:cs="Arial"/>
          <w:lang w:eastAsia="en-GB"/>
        </w:rPr>
      </w:pPr>
    </w:p>
    <w:p w:rsidR="00A137BD" w:rsidRPr="00FF1649" w:rsidRDefault="00A137BD" w:rsidP="005B500E">
      <w:pPr>
        <w:jc w:val="both"/>
        <w:rPr>
          <w:rFonts w:ascii="Arial" w:hAnsi="Arial" w:cs="Arial"/>
          <w:b/>
          <w:u w:val="single"/>
        </w:rPr>
      </w:pPr>
      <w:bookmarkStart w:id="0" w:name="_GoBack"/>
      <w:bookmarkEnd w:id="0"/>
      <w:r w:rsidRPr="00FF1649">
        <w:rPr>
          <w:rFonts w:ascii="Arial" w:hAnsi="Arial" w:cs="Arial"/>
          <w:b/>
          <w:u w:val="single"/>
        </w:rPr>
        <w:lastRenderedPageBreak/>
        <w:t>Appendix 1</w:t>
      </w:r>
    </w:p>
    <w:p w:rsidR="00A137BD" w:rsidRDefault="00A137BD" w:rsidP="005B500E">
      <w:pPr>
        <w:jc w:val="both"/>
        <w:rPr>
          <w:rFonts w:ascii="Arial" w:hAnsi="Arial" w:cs="Arial"/>
          <w:b/>
        </w:rPr>
      </w:pPr>
    </w:p>
    <w:p w:rsidR="00A137BD" w:rsidRPr="00A137BD" w:rsidRDefault="00A137BD" w:rsidP="00FE7B85">
      <w:pPr>
        <w:jc w:val="center"/>
        <w:rPr>
          <w:rFonts w:ascii="Arial" w:hAnsi="Arial" w:cs="Arial"/>
          <w:b/>
        </w:rPr>
      </w:pPr>
      <w:r w:rsidRPr="00A137BD">
        <w:rPr>
          <w:rFonts w:ascii="Arial" w:hAnsi="Arial" w:cs="Arial"/>
          <w:b/>
        </w:rPr>
        <w:t>National Enhanced Service</w:t>
      </w:r>
    </w:p>
    <w:p w:rsidR="00A137BD" w:rsidRPr="00A137BD" w:rsidRDefault="00A137BD" w:rsidP="00FE7B85">
      <w:pPr>
        <w:jc w:val="center"/>
        <w:rPr>
          <w:rFonts w:ascii="Arial" w:hAnsi="Arial" w:cs="Arial"/>
          <w:b/>
        </w:rPr>
      </w:pPr>
    </w:p>
    <w:p w:rsidR="00A137BD" w:rsidRPr="00A137BD" w:rsidRDefault="00A137BD" w:rsidP="00FE7B85">
      <w:pPr>
        <w:jc w:val="center"/>
        <w:rPr>
          <w:rFonts w:ascii="Arial" w:hAnsi="Arial" w:cs="Arial"/>
          <w:b/>
        </w:rPr>
      </w:pPr>
      <w:r w:rsidRPr="00A137BD">
        <w:rPr>
          <w:rFonts w:ascii="Arial" w:hAnsi="Arial" w:cs="Arial"/>
          <w:b/>
        </w:rPr>
        <w:t>Intra-uterine contraceptive device fittings</w:t>
      </w:r>
    </w:p>
    <w:p w:rsidR="00A137BD" w:rsidRPr="00A137BD" w:rsidRDefault="00A137BD" w:rsidP="005B500E">
      <w:pPr>
        <w:jc w:val="both"/>
        <w:rPr>
          <w:rFonts w:ascii="Arial" w:hAnsi="Arial" w:cs="Arial"/>
          <w:b/>
        </w:rPr>
      </w:pPr>
    </w:p>
    <w:p w:rsidR="00A137BD" w:rsidRPr="00363EEB" w:rsidRDefault="00A137BD" w:rsidP="005B500E">
      <w:pPr>
        <w:jc w:val="both"/>
        <w:rPr>
          <w:rFonts w:ascii="Arial" w:hAnsi="Arial" w:cs="Arial"/>
          <w:b/>
        </w:rPr>
      </w:pPr>
      <w:r w:rsidRPr="00A137BD">
        <w:rPr>
          <w:rFonts w:ascii="Arial" w:hAnsi="Arial" w:cs="Arial"/>
          <w:b/>
        </w:rPr>
        <w:t>Introduction</w:t>
      </w:r>
    </w:p>
    <w:p w:rsidR="00A137BD" w:rsidRPr="00A137BD" w:rsidRDefault="00A137BD" w:rsidP="005B500E">
      <w:pPr>
        <w:jc w:val="both"/>
        <w:rPr>
          <w:rFonts w:ascii="Arial" w:hAnsi="Arial" w:cs="Arial"/>
        </w:rPr>
      </w:pPr>
      <w:r w:rsidRPr="00A137BD">
        <w:rPr>
          <w:rFonts w:ascii="Arial" w:hAnsi="Arial" w:cs="Arial"/>
        </w:rPr>
        <w:t>All practices are expected to provide essential and those additional services they are contracted to provide to all their patients. This enhanced service specification outlines the more specialised services to be provided. The specification of this service is designed to cover the enhanced aspects of clinical care of the patient, all of which are beyond the scope of essential services. No part of the specification by commission, omission or implication defines or redefines essential or additional services.</w:t>
      </w:r>
    </w:p>
    <w:p w:rsidR="00A137BD" w:rsidRPr="00A137BD" w:rsidRDefault="00A137BD" w:rsidP="005B500E">
      <w:pPr>
        <w:jc w:val="both"/>
        <w:rPr>
          <w:rFonts w:ascii="Arial" w:hAnsi="Arial" w:cs="Arial"/>
          <w:b/>
        </w:rPr>
      </w:pPr>
    </w:p>
    <w:p w:rsidR="00A137BD" w:rsidRPr="00A137BD" w:rsidRDefault="00A137BD" w:rsidP="005B500E">
      <w:pPr>
        <w:jc w:val="both"/>
        <w:rPr>
          <w:rFonts w:ascii="Arial" w:hAnsi="Arial" w:cs="Arial"/>
          <w:b/>
        </w:rPr>
      </w:pPr>
      <w:r w:rsidRPr="00A137BD">
        <w:rPr>
          <w:rFonts w:ascii="Arial" w:hAnsi="Arial" w:cs="Arial"/>
          <w:b/>
        </w:rPr>
        <w:t>Background</w:t>
      </w:r>
    </w:p>
    <w:p w:rsidR="00A137BD" w:rsidRPr="00A137BD" w:rsidRDefault="00363EEB" w:rsidP="005B500E">
      <w:pPr>
        <w:jc w:val="both"/>
        <w:rPr>
          <w:rFonts w:ascii="Arial" w:hAnsi="Arial" w:cs="Arial"/>
        </w:rPr>
      </w:pPr>
      <w:r>
        <w:rPr>
          <w:rFonts w:ascii="Arial" w:hAnsi="Arial" w:cs="Arial"/>
        </w:rPr>
        <w:t>Evidence shows that:</w:t>
      </w:r>
    </w:p>
    <w:p w:rsidR="00A137BD" w:rsidRPr="00A137BD" w:rsidRDefault="00A137BD" w:rsidP="005B500E">
      <w:pPr>
        <w:jc w:val="both"/>
        <w:rPr>
          <w:rFonts w:ascii="Arial" w:hAnsi="Arial" w:cs="Arial"/>
        </w:rPr>
      </w:pPr>
    </w:p>
    <w:p w:rsidR="00A137BD" w:rsidRPr="00A137BD" w:rsidRDefault="00E4190B" w:rsidP="005B500E">
      <w:pPr>
        <w:numPr>
          <w:ilvl w:val="0"/>
          <w:numId w:val="40"/>
        </w:numPr>
        <w:jc w:val="both"/>
        <w:rPr>
          <w:rFonts w:ascii="Arial" w:hAnsi="Arial" w:cs="Arial"/>
        </w:rPr>
      </w:pPr>
      <w:r>
        <w:rPr>
          <w:rFonts w:ascii="Arial" w:hAnsi="Arial" w:cs="Arial"/>
        </w:rPr>
        <w:t>IUCDs make up approximately</w:t>
      </w:r>
      <w:r w:rsidR="00A137BD" w:rsidRPr="00A137BD">
        <w:rPr>
          <w:rFonts w:ascii="Arial" w:hAnsi="Arial" w:cs="Arial"/>
        </w:rPr>
        <w:t xml:space="preserve"> 5</w:t>
      </w:r>
      <w:r>
        <w:rPr>
          <w:rFonts w:ascii="Arial" w:hAnsi="Arial" w:cs="Arial"/>
        </w:rPr>
        <w:t>% of</w:t>
      </w:r>
      <w:r w:rsidR="00A137BD" w:rsidRPr="00A137BD">
        <w:rPr>
          <w:rFonts w:ascii="Arial" w:hAnsi="Arial" w:cs="Arial"/>
        </w:rPr>
        <w:t xml:space="preserve"> contraceptive usage in the UK. This is much lower than in many other European countries. In Scandinavia, IUDs make up 20% of contraceptive usage.</w:t>
      </w:r>
    </w:p>
    <w:p w:rsidR="00A137BD" w:rsidRPr="00A137BD" w:rsidRDefault="00A137BD" w:rsidP="005B500E">
      <w:pPr>
        <w:jc w:val="both"/>
        <w:rPr>
          <w:rFonts w:ascii="Arial" w:hAnsi="Arial" w:cs="Arial"/>
        </w:rPr>
      </w:pPr>
    </w:p>
    <w:p w:rsidR="00A137BD" w:rsidRPr="00A137BD" w:rsidRDefault="00A137BD" w:rsidP="005B500E">
      <w:pPr>
        <w:numPr>
          <w:ilvl w:val="0"/>
          <w:numId w:val="40"/>
        </w:numPr>
        <w:jc w:val="both"/>
        <w:rPr>
          <w:rFonts w:ascii="Arial" w:hAnsi="Arial" w:cs="Arial"/>
        </w:rPr>
      </w:pPr>
      <w:r w:rsidRPr="00A137BD">
        <w:rPr>
          <w:rFonts w:ascii="Arial" w:hAnsi="Arial" w:cs="Arial"/>
        </w:rPr>
        <w:t xml:space="preserve">Clinical effectiveness is excellent, with a recognised failure rate for all devices of 0.2-2.00 per woman-years. For the </w:t>
      </w:r>
      <w:proofErr w:type="spellStart"/>
      <w:r w:rsidRPr="00A137BD">
        <w:rPr>
          <w:rFonts w:ascii="Arial" w:hAnsi="Arial" w:cs="Arial"/>
        </w:rPr>
        <w:t>levonorgestrel</w:t>
      </w:r>
      <w:proofErr w:type="spellEnd"/>
      <w:r w:rsidRPr="00A137BD">
        <w:rPr>
          <w:rFonts w:ascii="Arial" w:hAnsi="Arial" w:cs="Arial"/>
        </w:rPr>
        <w:t>-releasing intrauterine system (LNG-IUS) the failure rate is 0.16/100 woman-years which is comparable to female sterilisation.</w:t>
      </w:r>
    </w:p>
    <w:p w:rsidR="00A137BD" w:rsidRPr="00A137BD" w:rsidRDefault="00A137BD" w:rsidP="005B500E">
      <w:pPr>
        <w:jc w:val="both"/>
        <w:rPr>
          <w:rFonts w:ascii="Arial" w:hAnsi="Arial" w:cs="Arial"/>
        </w:rPr>
      </w:pPr>
    </w:p>
    <w:p w:rsidR="00A137BD" w:rsidRPr="00A137BD" w:rsidRDefault="00A137BD" w:rsidP="005B500E">
      <w:pPr>
        <w:numPr>
          <w:ilvl w:val="0"/>
          <w:numId w:val="40"/>
        </w:numPr>
        <w:jc w:val="both"/>
        <w:rPr>
          <w:rFonts w:ascii="Arial" w:hAnsi="Arial" w:cs="Arial"/>
        </w:rPr>
      </w:pPr>
      <w:r w:rsidRPr="00A137BD">
        <w:rPr>
          <w:rFonts w:ascii="Arial" w:hAnsi="Arial" w:cs="Arial"/>
        </w:rPr>
        <w:t>It is one or two areas of contraceptive provision with relatively high levels of litigation and the most important factor influencing failure rate</w:t>
      </w:r>
      <w:r w:rsidR="00E4190B">
        <w:rPr>
          <w:rFonts w:ascii="Arial" w:hAnsi="Arial" w:cs="Arial"/>
        </w:rPr>
        <w:t>.</w:t>
      </w:r>
    </w:p>
    <w:p w:rsidR="00A137BD" w:rsidRPr="00A137BD" w:rsidRDefault="00A137BD" w:rsidP="005B500E">
      <w:pPr>
        <w:jc w:val="both"/>
        <w:rPr>
          <w:rFonts w:ascii="Arial" w:hAnsi="Arial" w:cs="Arial"/>
        </w:rPr>
      </w:pPr>
    </w:p>
    <w:p w:rsidR="00A137BD" w:rsidRPr="00A137BD" w:rsidRDefault="00A137BD" w:rsidP="005B500E">
      <w:pPr>
        <w:numPr>
          <w:ilvl w:val="0"/>
          <w:numId w:val="40"/>
        </w:numPr>
        <w:jc w:val="both"/>
        <w:rPr>
          <w:rFonts w:ascii="Arial" w:hAnsi="Arial" w:cs="Arial"/>
        </w:rPr>
      </w:pPr>
      <w:r w:rsidRPr="00A137BD">
        <w:rPr>
          <w:rFonts w:ascii="Arial" w:hAnsi="Arial" w:cs="Arial"/>
        </w:rPr>
        <w:t>The risk of pelvic inflammatory disease attributable to IUCD usage is low at 1.5. If 1000 women have an IUCD inserted, then 1.5 of them will develop pelvic inflammatory disease.</w:t>
      </w:r>
    </w:p>
    <w:p w:rsidR="00A137BD" w:rsidRPr="00A137BD" w:rsidRDefault="00A137BD" w:rsidP="005B500E">
      <w:pPr>
        <w:jc w:val="both"/>
        <w:rPr>
          <w:rFonts w:ascii="Arial" w:hAnsi="Arial" w:cs="Arial"/>
        </w:rPr>
      </w:pPr>
    </w:p>
    <w:p w:rsidR="00A137BD" w:rsidRPr="00A137BD" w:rsidRDefault="00E4190B" w:rsidP="005B500E">
      <w:pPr>
        <w:numPr>
          <w:ilvl w:val="0"/>
          <w:numId w:val="40"/>
        </w:numPr>
        <w:jc w:val="both"/>
        <w:rPr>
          <w:rFonts w:ascii="Arial" w:hAnsi="Arial" w:cs="Arial"/>
        </w:rPr>
      </w:pPr>
      <w:r>
        <w:rPr>
          <w:rFonts w:ascii="Arial" w:hAnsi="Arial" w:cs="Arial"/>
        </w:rPr>
        <w:t>The World Health O</w:t>
      </w:r>
      <w:r w:rsidR="00A137BD" w:rsidRPr="00A137BD">
        <w:rPr>
          <w:rFonts w:ascii="Arial" w:hAnsi="Arial" w:cs="Arial"/>
        </w:rPr>
        <w:t>rganisation (WHO) supports the use of the IUCD in young women including those under 20 years provided they are at low risk of sexually transmitted infections (STI)</w:t>
      </w:r>
      <w:r>
        <w:rPr>
          <w:rFonts w:ascii="Arial" w:hAnsi="Arial" w:cs="Arial"/>
        </w:rPr>
        <w:t>.</w:t>
      </w:r>
    </w:p>
    <w:p w:rsidR="00A137BD" w:rsidRPr="00A137BD" w:rsidRDefault="00A137BD" w:rsidP="005B500E">
      <w:pPr>
        <w:jc w:val="both"/>
        <w:rPr>
          <w:rFonts w:ascii="Arial" w:hAnsi="Arial" w:cs="Arial"/>
        </w:rPr>
      </w:pPr>
    </w:p>
    <w:p w:rsidR="00A137BD" w:rsidRPr="00A137BD" w:rsidRDefault="00A137BD" w:rsidP="005B500E">
      <w:pPr>
        <w:numPr>
          <w:ilvl w:val="0"/>
          <w:numId w:val="40"/>
        </w:numPr>
        <w:jc w:val="both"/>
        <w:rPr>
          <w:rFonts w:ascii="Arial" w:hAnsi="Arial" w:cs="Arial"/>
        </w:rPr>
      </w:pPr>
      <w:r w:rsidRPr="00A137BD">
        <w:rPr>
          <w:rFonts w:ascii="Arial" w:hAnsi="Arial" w:cs="Arial"/>
        </w:rPr>
        <w:t>The LNG-IUS has additional non-contraceptive benefits of decreasing menstrual loss and is part of the management of menorrhagia recommended by the Royal College of Obstetricians and Gynaecologists (RCOG)</w:t>
      </w:r>
      <w:r w:rsidR="00E4190B">
        <w:rPr>
          <w:rFonts w:ascii="Arial" w:hAnsi="Arial" w:cs="Arial"/>
        </w:rPr>
        <w:t>.</w:t>
      </w:r>
    </w:p>
    <w:p w:rsidR="00A137BD" w:rsidRPr="00A137BD" w:rsidRDefault="00A137BD" w:rsidP="005B500E">
      <w:pPr>
        <w:jc w:val="both"/>
        <w:rPr>
          <w:rFonts w:ascii="Arial" w:hAnsi="Arial" w:cs="Arial"/>
        </w:rPr>
      </w:pPr>
    </w:p>
    <w:p w:rsidR="00A137BD" w:rsidRPr="00A137BD" w:rsidRDefault="00A137BD" w:rsidP="005B500E">
      <w:pPr>
        <w:numPr>
          <w:ilvl w:val="0"/>
          <w:numId w:val="40"/>
        </w:numPr>
        <w:jc w:val="both"/>
        <w:rPr>
          <w:rFonts w:ascii="Arial" w:hAnsi="Arial" w:cs="Arial"/>
        </w:rPr>
      </w:pPr>
      <w:r w:rsidRPr="00A137BD">
        <w:rPr>
          <w:rFonts w:ascii="Arial" w:hAnsi="Arial" w:cs="Arial"/>
        </w:rPr>
        <w:t>Insertion of copper IUCD up to 5 days after presumed ovulation acts as a very efficient emergency pos</w:t>
      </w:r>
      <w:r w:rsidR="00E4190B">
        <w:rPr>
          <w:rFonts w:ascii="Arial" w:hAnsi="Arial" w:cs="Arial"/>
        </w:rPr>
        <w:t>t</w:t>
      </w:r>
      <w:r w:rsidRPr="00A137BD">
        <w:rPr>
          <w:rFonts w:ascii="Arial" w:hAnsi="Arial" w:cs="Arial"/>
        </w:rPr>
        <w:t xml:space="preserve">-coital contraception. Because of its increased post-coital time frame and </w:t>
      </w:r>
      <w:r w:rsidR="00E4190B" w:rsidRPr="00A137BD">
        <w:rPr>
          <w:rFonts w:ascii="Arial" w:hAnsi="Arial" w:cs="Arial"/>
        </w:rPr>
        <w:t>non-hormonal</w:t>
      </w:r>
      <w:r w:rsidRPr="00A137BD">
        <w:rPr>
          <w:rFonts w:ascii="Arial" w:hAnsi="Arial" w:cs="Arial"/>
        </w:rPr>
        <w:t xml:space="preserve"> constituents, it is complementary to the emergency use of the progesterone-only contraceptive pill</w:t>
      </w:r>
      <w:r w:rsidR="00E4190B">
        <w:rPr>
          <w:rFonts w:ascii="Arial" w:hAnsi="Arial" w:cs="Arial"/>
        </w:rPr>
        <w:t>.</w:t>
      </w:r>
    </w:p>
    <w:p w:rsidR="00A137BD" w:rsidRPr="00A137BD" w:rsidRDefault="00A137BD" w:rsidP="005B500E">
      <w:pPr>
        <w:jc w:val="both"/>
        <w:rPr>
          <w:rFonts w:ascii="Arial" w:hAnsi="Arial" w:cs="Arial"/>
        </w:rPr>
      </w:pPr>
    </w:p>
    <w:p w:rsidR="00A137BD" w:rsidRPr="00A137BD" w:rsidRDefault="00A137BD" w:rsidP="005B500E">
      <w:pPr>
        <w:numPr>
          <w:ilvl w:val="0"/>
          <w:numId w:val="40"/>
        </w:numPr>
        <w:jc w:val="both"/>
        <w:rPr>
          <w:rFonts w:ascii="Arial" w:hAnsi="Arial" w:cs="Arial"/>
        </w:rPr>
      </w:pPr>
      <w:r w:rsidRPr="00A137BD">
        <w:rPr>
          <w:rFonts w:ascii="Arial" w:hAnsi="Arial" w:cs="Arial"/>
        </w:rPr>
        <w:t>IUCD fitting is not undertaken by all general medical practi</w:t>
      </w:r>
      <w:r w:rsidR="00E4190B">
        <w:rPr>
          <w:rFonts w:ascii="Arial" w:hAnsi="Arial" w:cs="Arial"/>
        </w:rPr>
        <w:t>ti</w:t>
      </w:r>
      <w:r w:rsidRPr="00A137BD">
        <w:rPr>
          <w:rFonts w:ascii="Arial" w:hAnsi="Arial" w:cs="Arial"/>
        </w:rPr>
        <w:t>oners and maintaining expertise in IUCD fitting can be difficult.</w:t>
      </w:r>
    </w:p>
    <w:p w:rsidR="00A137BD" w:rsidRDefault="00A137BD" w:rsidP="005B500E">
      <w:pPr>
        <w:jc w:val="both"/>
        <w:rPr>
          <w:rFonts w:ascii="Arial" w:hAnsi="Arial" w:cs="Arial"/>
          <w:b/>
        </w:rPr>
      </w:pPr>
    </w:p>
    <w:p w:rsidR="00F22D27" w:rsidRPr="00A137BD" w:rsidRDefault="00F22D27" w:rsidP="005B500E">
      <w:pPr>
        <w:jc w:val="both"/>
        <w:rPr>
          <w:rFonts w:ascii="Arial" w:hAnsi="Arial" w:cs="Arial"/>
          <w:b/>
        </w:rPr>
      </w:pPr>
    </w:p>
    <w:p w:rsidR="00A137BD" w:rsidRPr="00A137BD" w:rsidRDefault="00A137BD" w:rsidP="005B500E">
      <w:pPr>
        <w:ind w:left="360"/>
        <w:jc w:val="both"/>
        <w:rPr>
          <w:rFonts w:ascii="Arial" w:hAnsi="Arial" w:cs="Arial"/>
          <w:b/>
        </w:rPr>
      </w:pPr>
      <w:r w:rsidRPr="00A137BD">
        <w:rPr>
          <w:rFonts w:ascii="Arial" w:hAnsi="Arial" w:cs="Arial"/>
          <w:b/>
        </w:rPr>
        <w:lastRenderedPageBreak/>
        <w:t>Aims</w:t>
      </w:r>
    </w:p>
    <w:p w:rsidR="00A137BD" w:rsidRPr="00A137BD" w:rsidRDefault="00A137BD" w:rsidP="005B500E">
      <w:pPr>
        <w:ind w:left="360"/>
        <w:jc w:val="both"/>
        <w:rPr>
          <w:rFonts w:ascii="Arial" w:hAnsi="Arial" w:cs="Arial"/>
        </w:rPr>
      </w:pPr>
      <w:r w:rsidRPr="00A137BD">
        <w:rPr>
          <w:rFonts w:ascii="Arial" w:hAnsi="Arial" w:cs="Arial"/>
        </w:rPr>
        <w:t>The aims of this service are to:</w:t>
      </w:r>
    </w:p>
    <w:p w:rsidR="00A137BD" w:rsidRPr="00A137BD" w:rsidRDefault="00A137BD" w:rsidP="005B500E">
      <w:pPr>
        <w:ind w:left="360"/>
        <w:jc w:val="both"/>
        <w:rPr>
          <w:rFonts w:ascii="Arial" w:hAnsi="Arial" w:cs="Arial"/>
        </w:rPr>
      </w:pPr>
    </w:p>
    <w:p w:rsidR="00A137BD" w:rsidRPr="00A137BD" w:rsidRDefault="00E4190B" w:rsidP="005B500E">
      <w:pPr>
        <w:numPr>
          <w:ilvl w:val="0"/>
          <w:numId w:val="41"/>
        </w:numPr>
        <w:jc w:val="both"/>
        <w:rPr>
          <w:rFonts w:ascii="Arial" w:hAnsi="Arial" w:cs="Arial"/>
        </w:rPr>
      </w:pPr>
      <w:r>
        <w:rPr>
          <w:rFonts w:ascii="Arial" w:hAnsi="Arial" w:cs="Arial"/>
        </w:rPr>
        <w:t>E</w:t>
      </w:r>
      <w:r w:rsidR="00A137BD" w:rsidRPr="00A137BD">
        <w:rPr>
          <w:rFonts w:ascii="Arial" w:hAnsi="Arial" w:cs="Arial"/>
        </w:rPr>
        <w:t>nsure that the full range of contraceptive optio</w:t>
      </w:r>
      <w:r>
        <w:rPr>
          <w:rFonts w:ascii="Arial" w:hAnsi="Arial" w:cs="Arial"/>
        </w:rPr>
        <w:t>ns is provided by practices to</w:t>
      </w:r>
      <w:r w:rsidR="00A137BD" w:rsidRPr="00A137BD">
        <w:rPr>
          <w:rFonts w:ascii="Arial" w:hAnsi="Arial" w:cs="Arial"/>
        </w:rPr>
        <w:t xml:space="preserve"> patients</w:t>
      </w:r>
      <w:r>
        <w:rPr>
          <w:rFonts w:ascii="Arial" w:hAnsi="Arial" w:cs="Arial"/>
        </w:rPr>
        <w:t>.</w:t>
      </w:r>
    </w:p>
    <w:p w:rsidR="00A137BD" w:rsidRPr="00A137BD" w:rsidRDefault="00A137BD" w:rsidP="005B500E">
      <w:pPr>
        <w:jc w:val="both"/>
        <w:rPr>
          <w:rFonts w:ascii="Arial" w:hAnsi="Arial" w:cs="Arial"/>
        </w:rPr>
      </w:pPr>
    </w:p>
    <w:p w:rsidR="00A137BD" w:rsidRPr="00A137BD" w:rsidRDefault="00E4190B" w:rsidP="005B500E">
      <w:pPr>
        <w:numPr>
          <w:ilvl w:val="0"/>
          <w:numId w:val="41"/>
        </w:numPr>
        <w:jc w:val="both"/>
        <w:rPr>
          <w:rFonts w:ascii="Arial" w:hAnsi="Arial" w:cs="Arial"/>
        </w:rPr>
      </w:pPr>
      <w:r>
        <w:rPr>
          <w:rFonts w:ascii="Arial" w:hAnsi="Arial" w:cs="Arial"/>
        </w:rPr>
        <w:t>E</w:t>
      </w:r>
      <w:r w:rsidR="00A137BD" w:rsidRPr="00A137BD">
        <w:rPr>
          <w:rFonts w:ascii="Arial" w:hAnsi="Arial" w:cs="Arial"/>
        </w:rPr>
        <w:t>nsure that the availability of post-coital IUCD fitting for emergency contraception should be more adequately provided as another means of reducing unwanted pregnancies</w:t>
      </w:r>
      <w:r>
        <w:rPr>
          <w:rFonts w:ascii="Arial" w:hAnsi="Arial" w:cs="Arial"/>
        </w:rPr>
        <w:t>.</w:t>
      </w:r>
    </w:p>
    <w:p w:rsidR="00A137BD" w:rsidRPr="00A137BD" w:rsidRDefault="00A137BD" w:rsidP="005B500E">
      <w:pPr>
        <w:jc w:val="both"/>
        <w:rPr>
          <w:rFonts w:ascii="Arial" w:hAnsi="Arial" w:cs="Arial"/>
        </w:rPr>
      </w:pPr>
    </w:p>
    <w:p w:rsidR="00A137BD" w:rsidRPr="00A137BD" w:rsidRDefault="00A137BD" w:rsidP="005B500E">
      <w:pPr>
        <w:numPr>
          <w:ilvl w:val="0"/>
          <w:numId w:val="41"/>
        </w:numPr>
        <w:jc w:val="both"/>
        <w:rPr>
          <w:rFonts w:ascii="Arial" w:hAnsi="Arial" w:cs="Arial"/>
        </w:rPr>
      </w:pPr>
      <w:r w:rsidRPr="00A137BD">
        <w:rPr>
          <w:rFonts w:ascii="Arial" w:hAnsi="Arial" w:cs="Arial"/>
        </w:rPr>
        <w:t>Increase the availability of LNG-IUS in the management of menorrhagia within primary care</w:t>
      </w:r>
      <w:r w:rsidR="00E4190B">
        <w:rPr>
          <w:rFonts w:ascii="Arial" w:hAnsi="Arial" w:cs="Arial"/>
        </w:rPr>
        <w:t>.</w:t>
      </w:r>
    </w:p>
    <w:p w:rsidR="00A137BD" w:rsidRPr="00A137BD" w:rsidRDefault="00A137BD" w:rsidP="005B500E">
      <w:pPr>
        <w:jc w:val="both"/>
        <w:rPr>
          <w:rFonts w:ascii="Arial" w:hAnsi="Arial" w:cs="Arial"/>
        </w:rPr>
      </w:pPr>
    </w:p>
    <w:p w:rsidR="00A137BD" w:rsidRPr="00A137BD" w:rsidRDefault="00A137BD" w:rsidP="005B500E">
      <w:pPr>
        <w:ind w:left="360"/>
        <w:jc w:val="both"/>
        <w:rPr>
          <w:rFonts w:ascii="Arial" w:hAnsi="Arial" w:cs="Arial"/>
          <w:b/>
        </w:rPr>
      </w:pPr>
      <w:r w:rsidRPr="00A137BD">
        <w:rPr>
          <w:rFonts w:ascii="Arial" w:hAnsi="Arial" w:cs="Arial"/>
          <w:b/>
        </w:rPr>
        <w:t>Service Outline</w:t>
      </w:r>
    </w:p>
    <w:p w:rsidR="00A137BD" w:rsidRPr="00A137BD" w:rsidRDefault="00E4190B" w:rsidP="005B500E">
      <w:pPr>
        <w:ind w:left="360"/>
        <w:jc w:val="both"/>
        <w:rPr>
          <w:rFonts w:ascii="Arial" w:hAnsi="Arial" w:cs="Arial"/>
        </w:rPr>
      </w:pPr>
      <w:r>
        <w:rPr>
          <w:rFonts w:ascii="Arial" w:hAnsi="Arial" w:cs="Arial"/>
        </w:rPr>
        <w:t>The National Enhanced S</w:t>
      </w:r>
      <w:r w:rsidR="00A137BD" w:rsidRPr="00A137BD">
        <w:rPr>
          <w:rFonts w:ascii="Arial" w:hAnsi="Arial" w:cs="Arial"/>
        </w:rPr>
        <w:t>ervice will fund:</w:t>
      </w:r>
    </w:p>
    <w:p w:rsidR="00A137BD" w:rsidRPr="00A137BD" w:rsidRDefault="00A137BD" w:rsidP="005B500E">
      <w:pPr>
        <w:ind w:left="360"/>
        <w:jc w:val="both"/>
        <w:rPr>
          <w:rFonts w:ascii="Arial" w:hAnsi="Arial" w:cs="Arial"/>
        </w:rPr>
      </w:pPr>
    </w:p>
    <w:p w:rsidR="00A137BD" w:rsidRPr="00A137BD" w:rsidRDefault="00E4190B" w:rsidP="005B500E">
      <w:pPr>
        <w:numPr>
          <w:ilvl w:val="0"/>
          <w:numId w:val="42"/>
        </w:numPr>
        <w:jc w:val="both"/>
        <w:rPr>
          <w:rFonts w:ascii="Arial" w:hAnsi="Arial" w:cs="Arial"/>
        </w:rPr>
      </w:pPr>
      <w:r>
        <w:rPr>
          <w:rFonts w:ascii="Arial" w:hAnsi="Arial" w:cs="Arial"/>
        </w:rPr>
        <w:t>F</w:t>
      </w:r>
      <w:r w:rsidR="00A137BD" w:rsidRPr="00E4190B">
        <w:rPr>
          <w:rFonts w:ascii="Arial" w:hAnsi="Arial" w:cs="Arial"/>
        </w:rPr>
        <w:t>itting, monitoring, checking and removal of IUCDs</w:t>
      </w:r>
      <w:r w:rsidR="00A137BD" w:rsidRPr="00A137BD">
        <w:rPr>
          <w:rFonts w:ascii="Arial" w:hAnsi="Arial" w:cs="Arial"/>
          <w:b/>
        </w:rPr>
        <w:t xml:space="preserve"> </w:t>
      </w:r>
      <w:r w:rsidR="00A137BD" w:rsidRPr="00A137BD">
        <w:rPr>
          <w:rFonts w:ascii="Arial" w:hAnsi="Arial" w:cs="Arial"/>
        </w:rPr>
        <w:t>as appropriate</w:t>
      </w:r>
      <w:r>
        <w:rPr>
          <w:rFonts w:ascii="Arial" w:hAnsi="Arial" w:cs="Arial"/>
        </w:rPr>
        <w:t>.</w:t>
      </w:r>
    </w:p>
    <w:p w:rsidR="00A137BD" w:rsidRPr="00A137BD" w:rsidRDefault="00A137BD" w:rsidP="005B500E">
      <w:pPr>
        <w:jc w:val="both"/>
        <w:rPr>
          <w:rFonts w:ascii="Arial" w:hAnsi="Arial" w:cs="Arial"/>
        </w:rPr>
      </w:pPr>
    </w:p>
    <w:p w:rsidR="00A137BD" w:rsidRPr="00A137BD" w:rsidRDefault="00A137BD" w:rsidP="005B500E">
      <w:pPr>
        <w:numPr>
          <w:ilvl w:val="0"/>
          <w:numId w:val="42"/>
        </w:numPr>
        <w:jc w:val="both"/>
        <w:rPr>
          <w:rFonts w:ascii="Arial" w:hAnsi="Arial" w:cs="Arial"/>
        </w:rPr>
      </w:pPr>
      <w:r w:rsidRPr="00A137BD">
        <w:rPr>
          <w:rFonts w:ascii="Arial" w:hAnsi="Arial" w:cs="Arial"/>
        </w:rPr>
        <w:t xml:space="preserve">Production of an up to date register </w:t>
      </w:r>
      <w:r w:rsidR="00E4190B">
        <w:rPr>
          <w:rFonts w:ascii="Arial" w:hAnsi="Arial" w:cs="Arial"/>
        </w:rPr>
        <w:t xml:space="preserve">of patients fitted with an IUCD. </w:t>
      </w:r>
      <w:r w:rsidRPr="00A137BD">
        <w:rPr>
          <w:rFonts w:ascii="Arial" w:hAnsi="Arial" w:cs="Arial"/>
        </w:rPr>
        <w:t>This will include all patients fitted with an IUCD. This is to be used for audit purposes, and to enable the primary care team to target these patients for health care checks.</w:t>
      </w:r>
    </w:p>
    <w:p w:rsidR="00A137BD" w:rsidRPr="00A137BD" w:rsidRDefault="00A137BD" w:rsidP="005B500E">
      <w:pPr>
        <w:jc w:val="both"/>
        <w:rPr>
          <w:rFonts w:ascii="Arial" w:hAnsi="Arial" w:cs="Arial"/>
        </w:rPr>
      </w:pPr>
    </w:p>
    <w:p w:rsidR="00A137BD" w:rsidRPr="00A137BD" w:rsidRDefault="00A137BD" w:rsidP="005B500E">
      <w:pPr>
        <w:numPr>
          <w:ilvl w:val="0"/>
          <w:numId w:val="42"/>
        </w:numPr>
        <w:jc w:val="both"/>
        <w:rPr>
          <w:rFonts w:ascii="Arial" w:hAnsi="Arial" w:cs="Arial"/>
        </w:rPr>
      </w:pPr>
      <w:r w:rsidRPr="00A137BD">
        <w:rPr>
          <w:rFonts w:ascii="Arial" w:hAnsi="Arial" w:cs="Arial"/>
        </w:rPr>
        <w:t>Practices to undertake regular continual professional development (CPD)</w:t>
      </w:r>
      <w:r w:rsidR="00E4190B">
        <w:rPr>
          <w:rFonts w:ascii="Arial" w:hAnsi="Arial" w:cs="Arial"/>
        </w:rPr>
        <w:t>.</w:t>
      </w:r>
    </w:p>
    <w:p w:rsidR="00A137BD" w:rsidRPr="00A137BD" w:rsidRDefault="00A137BD" w:rsidP="005B500E">
      <w:pPr>
        <w:jc w:val="both"/>
        <w:rPr>
          <w:rFonts w:ascii="Arial" w:hAnsi="Arial" w:cs="Arial"/>
        </w:rPr>
      </w:pPr>
    </w:p>
    <w:p w:rsidR="00A137BD" w:rsidRPr="00A137BD" w:rsidRDefault="00E4190B" w:rsidP="005B500E">
      <w:pPr>
        <w:numPr>
          <w:ilvl w:val="0"/>
          <w:numId w:val="42"/>
        </w:numPr>
        <w:jc w:val="both"/>
        <w:rPr>
          <w:rFonts w:ascii="Arial" w:hAnsi="Arial" w:cs="Arial"/>
        </w:rPr>
      </w:pPr>
      <w:r>
        <w:rPr>
          <w:rFonts w:ascii="Arial" w:hAnsi="Arial" w:cs="Arial"/>
        </w:rPr>
        <w:t>Provision of adequate equipment.</w:t>
      </w:r>
      <w:r w:rsidR="00A137BD" w:rsidRPr="00A137BD">
        <w:rPr>
          <w:rFonts w:ascii="Arial" w:hAnsi="Arial" w:cs="Arial"/>
        </w:rPr>
        <w:t xml:space="preserve"> Certain special equipment is required for IUCD fitting. This includes an appropriate room fitted with a couch and with adequate space and equipment for resuscitation. A variety of vaginal specula, cervical dilators and equipment for cervical anaesthesia also need to be available. An appropriately trained nurse also needs to be present to support the patient and assist the doctor during the procedure.</w:t>
      </w:r>
    </w:p>
    <w:p w:rsidR="00A137BD" w:rsidRPr="00A137BD" w:rsidRDefault="00A137BD" w:rsidP="005B500E">
      <w:pPr>
        <w:jc w:val="both"/>
        <w:rPr>
          <w:rFonts w:ascii="Arial" w:hAnsi="Arial" w:cs="Arial"/>
        </w:rPr>
      </w:pPr>
    </w:p>
    <w:p w:rsidR="00A137BD" w:rsidRPr="00A137BD" w:rsidRDefault="00A137BD" w:rsidP="005B500E">
      <w:pPr>
        <w:numPr>
          <w:ilvl w:val="0"/>
          <w:numId w:val="42"/>
        </w:numPr>
        <w:jc w:val="both"/>
        <w:rPr>
          <w:rFonts w:ascii="Arial" w:hAnsi="Arial" w:cs="Arial"/>
        </w:rPr>
      </w:pPr>
      <w:r w:rsidRPr="00A137BD">
        <w:rPr>
          <w:rFonts w:ascii="Arial" w:hAnsi="Arial" w:cs="Arial"/>
        </w:rPr>
        <w:t xml:space="preserve">Chlamydia screening before insertion of the IUCD and, if positive, refer for screening for other STIs. This should be in accordance with national </w:t>
      </w:r>
      <w:r w:rsidR="00E4190B" w:rsidRPr="00A137BD">
        <w:rPr>
          <w:rFonts w:ascii="Arial" w:hAnsi="Arial" w:cs="Arial"/>
        </w:rPr>
        <w:t>policy</w:t>
      </w:r>
      <w:r w:rsidRPr="00A137BD">
        <w:rPr>
          <w:rFonts w:ascii="Arial" w:hAnsi="Arial" w:cs="Arial"/>
        </w:rPr>
        <w:t xml:space="preserve"> or with PCO policy if there is no relevant national policy.</w:t>
      </w:r>
    </w:p>
    <w:p w:rsidR="00A137BD" w:rsidRPr="00A137BD" w:rsidRDefault="00A137BD" w:rsidP="005B500E">
      <w:pPr>
        <w:jc w:val="both"/>
        <w:rPr>
          <w:rFonts w:ascii="Arial" w:hAnsi="Arial" w:cs="Arial"/>
        </w:rPr>
      </w:pPr>
    </w:p>
    <w:p w:rsidR="00A137BD" w:rsidRPr="00A137BD" w:rsidRDefault="00A137BD" w:rsidP="005B500E">
      <w:pPr>
        <w:numPr>
          <w:ilvl w:val="0"/>
          <w:numId w:val="42"/>
        </w:numPr>
        <w:jc w:val="both"/>
        <w:rPr>
          <w:rFonts w:ascii="Arial" w:hAnsi="Arial" w:cs="Arial"/>
        </w:rPr>
      </w:pPr>
      <w:r w:rsidRPr="00A137BD">
        <w:rPr>
          <w:rFonts w:ascii="Arial" w:hAnsi="Arial" w:cs="Arial"/>
        </w:rPr>
        <w:t>The use of condoms to prevent infection</w:t>
      </w:r>
      <w:r w:rsidR="00E4190B">
        <w:rPr>
          <w:rFonts w:ascii="Arial" w:hAnsi="Arial" w:cs="Arial"/>
        </w:rPr>
        <w:t>.</w:t>
      </w:r>
    </w:p>
    <w:p w:rsidR="00A137BD" w:rsidRPr="00A137BD" w:rsidRDefault="00A137BD" w:rsidP="005B500E">
      <w:pPr>
        <w:jc w:val="both"/>
        <w:rPr>
          <w:rFonts w:ascii="Arial" w:hAnsi="Arial" w:cs="Arial"/>
        </w:rPr>
      </w:pPr>
    </w:p>
    <w:p w:rsidR="00A137BD" w:rsidRPr="00A137BD" w:rsidRDefault="00E4190B" w:rsidP="005B500E">
      <w:pPr>
        <w:numPr>
          <w:ilvl w:val="0"/>
          <w:numId w:val="42"/>
        </w:numPr>
        <w:jc w:val="both"/>
        <w:rPr>
          <w:rFonts w:ascii="Arial" w:hAnsi="Arial" w:cs="Arial"/>
        </w:rPr>
      </w:pPr>
      <w:r>
        <w:rPr>
          <w:rFonts w:ascii="Arial" w:hAnsi="Arial" w:cs="Arial"/>
        </w:rPr>
        <w:t>Regular assessment.</w:t>
      </w:r>
      <w:r w:rsidR="00A137BD" w:rsidRPr="00A137BD">
        <w:rPr>
          <w:rFonts w:ascii="Arial" w:hAnsi="Arial" w:cs="Arial"/>
        </w:rPr>
        <w:t xml:space="preserve"> A check of the IUCD after fitting is suggested at six weeks and thereafter annually. In addition any problems such as abnormal bleeding or pain should be assessed urgently</w:t>
      </w:r>
      <w:r>
        <w:rPr>
          <w:rFonts w:ascii="Arial" w:hAnsi="Arial" w:cs="Arial"/>
        </w:rPr>
        <w:t>.</w:t>
      </w:r>
    </w:p>
    <w:p w:rsidR="00A137BD" w:rsidRPr="00A137BD" w:rsidRDefault="00A137BD" w:rsidP="005B500E">
      <w:pPr>
        <w:jc w:val="both"/>
        <w:rPr>
          <w:rFonts w:ascii="Arial" w:hAnsi="Arial" w:cs="Arial"/>
        </w:rPr>
      </w:pPr>
    </w:p>
    <w:p w:rsidR="00A137BD" w:rsidRPr="00A137BD" w:rsidRDefault="00E4190B" w:rsidP="005B500E">
      <w:pPr>
        <w:numPr>
          <w:ilvl w:val="0"/>
          <w:numId w:val="42"/>
        </w:numPr>
        <w:jc w:val="both"/>
        <w:rPr>
          <w:rFonts w:ascii="Arial" w:hAnsi="Arial" w:cs="Arial"/>
        </w:rPr>
      </w:pPr>
      <w:r w:rsidRPr="00A137BD">
        <w:rPr>
          <w:rFonts w:ascii="Arial" w:hAnsi="Arial" w:cs="Arial"/>
        </w:rPr>
        <w:t>Provision</w:t>
      </w:r>
      <w:r>
        <w:rPr>
          <w:rFonts w:ascii="Arial" w:hAnsi="Arial" w:cs="Arial"/>
        </w:rPr>
        <w:t xml:space="preserve"> of information.</w:t>
      </w:r>
      <w:r w:rsidR="00A137BD" w:rsidRPr="00A137BD">
        <w:rPr>
          <w:rFonts w:ascii="Arial" w:hAnsi="Arial" w:cs="Arial"/>
        </w:rPr>
        <w:t xml:space="preserve"> Written information should be provided at the time of counselling and reinforced after fitting with information on follow up and those symptoms that require urgent assessment.</w:t>
      </w:r>
    </w:p>
    <w:p w:rsidR="00A137BD" w:rsidRPr="00A137BD" w:rsidRDefault="00A137BD" w:rsidP="005B500E">
      <w:pPr>
        <w:jc w:val="both"/>
        <w:rPr>
          <w:rFonts w:ascii="Arial" w:hAnsi="Arial" w:cs="Arial"/>
        </w:rPr>
      </w:pPr>
    </w:p>
    <w:p w:rsidR="00A137BD" w:rsidRPr="00A137BD" w:rsidRDefault="00A137BD" w:rsidP="005B500E">
      <w:pPr>
        <w:numPr>
          <w:ilvl w:val="0"/>
          <w:numId w:val="42"/>
        </w:numPr>
        <w:jc w:val="both"/>
        <w:rPr>
          <w:rFonts w:ascii="Arial" w:hAnsi="Arial" w:cs="Arial"/>
        </w:rPr>
      </w:pPr>
      <w:r w:rsidRPr="00A137BD">
        <w:rPr>
          <w:rFonts w:ascii="Arial" w:hAnsi="Arial" w:cs="Arial"/>
        </w:rPr>
        <w:t>Production of an appropriate GP record</w:t>
      </w:r>
      <w:r w:rsidR="00E4190B">
        <w:rPr>
          <w:rFonts w:ascii="Arial" w:hAnsi="Arial" w:cs="Arial"/>
        </w:rPr>
        <w:t>.</w:t>
      </w:r>
      <w:r w:rsidRPr="00A137BD">
        <w:rPr>
          <w:rFonts w:ascii="Arial" w:hAnsi="Arial" w:cs="Arial"/>
        </w:rPr>
        <w:t xml:space="preserve"> Adequate recording should be made regarding the patient’s clinical history, the counselling process, the results of any chlamydia screening, the pelvic examination, problems with insertion, the type and batch number of the IUCD, and follow </w:t>
      </w:r>
      <w:r w:rsidR="00E4190B">
        <w:rPr>
          <w:rFonts w:ascii="Arial" w:hAnsi="Arial" w:cs="Arial"/>
        </w:rPr>
        <w:t>up arrangements. If the patient</w:t>
      </w:r>
      <w:r w:rsidRPr="00A137BD">
        <w:rPr>
          <w:rFonts w:ascii="Arial" w:hAnsi="Arial" w:cs="Arial"/>
        </w:rPr>
        <w:t xml:space="preserve"> is not registered with the practice providing the NES, the providing practice must ensure </w:t>
      </w:r>
      <w:r w:rsidRPr="00A137BD">
        <w:rPr>
          <w:rFonts w:ascii="Arial" w:hAnsi="Arial" w:cs="Arial"/>
        </w:rPr>
        <w:lastRenderedPageBreak/>
        <w:t>the patient’s registered practice is given all appropriate clinical details for inclusion into the patient’s notes</w:t>
      </w:r>
      <w:r w:rsidR="00E4190B">
        <w:rPr>
          <w:rFonts w:ascii="Arial" w:hAnsi="Arial" w:cs="Arial"/>
        </w:rPr>
        <w:t>.</w:t>
      </w:r>
    </w:p>
    <w:p w:rsidR="00A137BD" w:rsidRPr="00A137BD" w:rsidRDefault="00A137BD" w:rsidP="005B500E">
      <w:pPr>
        <w:jc w:val="both"/>
        <w:rPr>
          <w:rFonts w:ascii="Arial" w:hAnsi="Arial" w:cs="Arial"/>
        </w:rPr>
      </w:pPr>
    </w:p>
    <w:p w:rsidR="00A137BD" w:rsidRPr="00A137BD" w:rsidRDefault="00A137BD" w:rsidP="005B500E">
      <w:pPr>
        <w:numPr>
          <w:ilvl w:val="0"/>
          <w:numId w:val="42"/>
        </w:numPr>
        <w:jc w:val="both"/>
        <w:rPr>
          <w:rFonts w:ascii="Arial" w:hAnsi="Arial" w:cs="Arial"/>
        </w:rPr>
      </w:pPr>
      <w:r w:rsidRPr="00A137BD">
        <w:rPr>
          <w:rFonts w:ascii="Arial" w:hAnsi="Arial" w:cs="Arial"/>
        </w:rPr>
        <w:t>The use of LNG-IUS for the management of menorrhagia in primary care as part of a care pathway agreed and developed with local gynaecology departments</w:t>
      </w:r>
      <w:r w:rsidR="00E4190B">
        <w:rPr>
          <w:rFonts w:ascii="Arial" w:hAnsi="Arial" w:cs="Arial"/>
        </w:rPr>
        <w:t>.</w:t>
      </w:r>
      <w:r w:rsidRPr="00A137BD">
        <w:rPr>
          <w:rFonts w:ascii="Arial" w:hAnsi="Arial" w:cs="Arial"/>
        </w:rPr>
        <w:t xml:space="preserve"> To ensure these devices are used for the correct patients and the approved indications</w:t>
      </w:r>
      <w:r w:rsidR="00E4190B">
        <w:rPr>
          <w:rFonts w:ascii="Arial" w:hAnsi="Arial" w:cs="Arial"/>
        </w:rPr>
        <w:t>.</w:t>
      </w:r>
    </w:p>
    <w:p w:rsidR="00A137BD" w:rsidRPr="00A137BD" w:rsidRDefault="00A137BD" w:rsidP="005B500E">
      <w:pPr>
        <w:jc w:val="both"/>
        <w:rPr>
          <w:rFonts w:ascii="Arial" w:hAnsi="Arial" w:cs="Arial"/>
        </w:rPr>
      </w:pPr>
    </w:p>
    <w:p w:rsidR="00A137BD" w:rsidRPr="00A137BD" w:rsidRDefault="00A137BD" w:rsidP="005B500E">
      <w:pPr>
        <w:numPr>
          <w:ilvl w:val="0"/>
          <w:numId w:val="42"/>
        </w:numPr>
        <w:jc w:val="both"/>
        <w:rPr>
          <w:rFonts w:ascii="Arial" w:hAnsi="Arial" w:cs="Arial"/>
        </w:rPr>
      </w:pPr>
      <w:r w:rsidRPr="00A137BD">
        <w:rPr>
          <w:rFonts w:ascii="Arial" w:hAnsi="Arial" w:cs="Arial"/>
        </w:rPr>
        <w:t>An annual review, which could include an audit of:</w:t>
      </w:r>
    </w:p>
    <w:p w:rsidR="00A137BD" w:rsidRPr="00A137BD" w:rsidRDefault="00A137BD" w:rsidP="005B500E">
      <w:pPr>
        <w:jc w:val="both"/>
        <w:rPr>
          <w:rFonts w:ascii="Arial" w:hAnsi="Arial" w:cs="Arial"/>
        </w:rPr>
      </w:pPr>
    </w:p>
    <w:p w:rsidR="00A137BD" w:rsidRPr="00A137BD" w:rsidRDefault="00A137BD" w:rsidP="005B500E">
      <w:pPr>
        <w:numPr>
          <w:ilvl w:val="1"/>
          <w:numId w:val="42"/>
        </w:numPr>
        <w:jc w:val="both"/>
        <w:rPr>
          <w:rFonts w:ascii="Arial" w:hAnsi="Arial" w:cs="Arial"/>
        </w:rPr>
      </w:pPr>
      <w:r w:rsidRPr="00A137BD">
        <w:rPr>
          <w:rFonts w:ascii="Arial" w:hAnsi="Arial" w:cs="Arial"/>
        </w:rPr>
        <w:t>the register of patients fitted with an IUCD</w:t>
      </w:r>
    </w:p>
    <w:p w:rsidR="00A137BD" w:rsidRPr="00A137BD" w:rsidRDefault="00A137BD" w:rsidP="005B500E">
      <w:pPr>
        <w:numPr>
          <w:ilvl w:val="1"/>
          <w:numId w:val="42"/>
        </w:numPr>
        <w:jc w:val="both"/>
        <w:rPr>
          <w:rFonts w:ascii="Arial" w:hAnsi="Arial" w:cs="Arial"/>
        </w:rPr>
      </w:pPr>
      <w:r w:rsidRPr="00A137BD">
        <w:rPr>
          <w:rFonts w:ascii="Arial" w:hAnsi="Arial" w:cs="Arial"/>
        </w:rPr>
        <w:t>continuous usage rates</w:t>
      </w:r>
    </w:p>
    <w:p w:rsidR="00A137BD" w:rsidRPr="00A137BD" w:rsidRDefault="00A137BD" w:rsidP="005B500E">
      <w:pPr>
        <w:numPr>
          <w:ilvl w:val="1"/>
          <w:numId w:val="42"/>
        </w:numPr>
        <w:jc w:val="both"/>
        <w:rPr>
          <w:rFonts w:ascii="Arial" w:hAnsi="Arial" w:cs="Arial"/>
        </w:rPr>
      </w:pPr>
      <w:r w:rsidRPr="00A137BD">
        <w:rPr>
          <w:rFonts w:ascii="Arial" w:hAnsi="Arial" w:cs="Arial"/>
        </w:rPr>
        <w:t>complications</w:t>
      </w:r>
    </w:p>
    <w:p w:rsidR="00A137BD" w:rsidRPr="00A137BD" w:rsidRDefault="00A137BD" w:rsidP="005B500E">
      <w:pPr>
        <w:jc w:val="both"/>
        <w:rPr>
          <w:rFonts w:ascii="Arial" w:hAnsi="Arial" w:cs="Arial"/>
        </w:rPr>
      </w:pPr>
    </w:p>
    <w:p w:rsidR="00A137BD" w:rsidRDefault="00A137BD" w:rsidP="005B500E">
      <w:pPr>
        <w:ind w:left="720" w:hanging="360"/>
        <w:jc w:val="both"/>
        <w:rPr>
          <w:rFonts w:ascii="Arial" w:hAnsi="Arial" w:cs="Arial"/>
          <w:b/>
        </w:rPr>
      </w:pPr>
      <w:r w:rsidRPr="00A137BD">
        <w:rPr>
          <w:rFonts w:ascii="Arial" w:hAnsi="Arial" w:cs="Arial"/>
          <w:b/>
        </w:rPr>
        <w:t>Accreditation</w:t>
      </w:r>
    </w:p>
    <w:p w:rsidR="00A45E79" w:rsidRPr="00A137BD" w:rsidRDefault="00A45E79" w:rsidP="005B500E">
      <w:pPr>
        <w:ind w:left="720" w:hanging="360"/>
        <w:jc w:val="both"/>
        <w:rPr>
          <w:rFonts w:ascii="Arial" w:hAnsi="Arial" w:cs="Arial"/>
          <w:b/>
        </w:rPr>
      </w:pPr>
    </w:p>
    <w:p w:rsidR="00A137BD" w:rsidRPr="00A137BD" w:rsidRDefault="00E4190B" w:rsidP="005B500E">
      <w:pPr>
        <w:ind w:left="360"/>
        <w:jc w:val="both"/>
        <w:rPr>
          <w:rFonts w:ascii="Arial" w:hAnsi="Arial" w:cs="Arial"/>
        </w:rPr>
      </w:pPr>
      <w:r>
        <w:rPr>
          <w:rFonts w:ascii="Arial" w:hAnsi="Arial" w:cs="Arial"/>
        </w:rPr>
        <w:t>Practitioners</w:t>
      </w:r>
      <w:r w:rsidR="00A137BD" w:rsidRPr="00A137BD">
        <w:rPr>
          <w:rFonts w:ascii="Arial" w:hAnsi="Arial" w:cs="Arial"/>
        </w:rPr>
        <w:t xml:space="preserve"> undertaking this procedure should have undertaken appropriate training. This should be based on modern, authoritative medical opinion, for example, the current requirements set down by the Faculty of Family Planning and Reproductive Health Care (FFPRHC) for the letter of competence in intrauterine techniques (</w:t>
      </w:r>
      <w:proofErr w:type="spellStart"/>
      <w:r w:rsidR="00A137BD" w:rsidRPr="00A137BD">
        <w:rPr>
          <w:rFonts w:ascii="Arial" w:hAnsi="Arial" w:cs="Arial"/>
        </w:rPr>
        <w:t>LoC</w:t>
      </w:r>
      <w:proofErr w:type="spellEnd"/>
      <w:r w:rsidR="00A137BD" w:rsidRPr="00A137BD">
        <w:rPr>
          <w:rFonts w:ascii="Arial" w:hAnsi="Arial" w:cs="Arial"/>
        </w:rPr>
        <w:t xml:space="preserve"> IUT). This involves a demonstration of gynaecological skills in assessing the pelvic organs, a minimum number of ten observed insertions in conscious patients, and appropriate knowledge of issues relevant it IUCD use, including counselling</w:t>
      </w:r>
      <w:r>
        <w:rPr>
          <w:rFonts w:ascii="Arial" w:hAnsi="Arial" w:cs="Arial"/>
        </w:rPr>
        <w:t>.</w:t>
      </w:r>
    </w:p>
    <w:p w:rsidR="00E4190B" w:rsidRDefault="00E4190B" w:rsidP="005B500E">
      <w:pPr>
        <w:jc w:val="both"/>
        <w:rPr>
          <w:rFonts w:ascii="Arial" w:hAnsi="Arial" w:cs="Arial"/>
        </w:rPr>
      </w:pPr>
    </w:p>
    <w:p w:rsidR="00E4190B" w:rsidRDefault="00A137BD" w:rsidP="005B500E">
      <w:pPr>
        <w:ind w:firstLine="360"/>
        <w:jc w:val="both"/>
        <w:rPr>
          <w:rFonts w:ascii="Arial" w:hAnsi="Arial" w:cs="Arial"/>
        </w:rPr>
      </w:pPr>
      <w:r w:rsidRPr="00A137BD">
        <w:rPr>
          <w:rFonts w:ascii="Arial" w:hAnsi="Arial" w:cs="Arial"/>
        </w:rPr>
        <w:t>Those doctors who have previously p</w:t>
      </w:r>
      <w:r w:rsidR="00E4190B">
        <w:rPr>
          <w:rFonts w:ascii="Arial" w:hAnsi="Arial" w:cs="Arial"/>
        </w:rPr>
        <w:t>rovided services similar to the</w:t>
      </w:r>
    </w:p>
    <w:p w:rsidR="00A137BD" w:rsidRPr="00A137BD" w:rsidRDefault="00A137BD" w:rsidP="005B500E">
      <w:pPr>
        <w:ind w:left="360"/>
        <w:jc w:val="both"/>
        <w:rPr>
          <w:rFonts w:ascii="Arial" w:hAnsi="Arial" w:cs="Arial"/>
        </w:rPr>
      </w:pPr>
      <w:r w:rsidRPr="00A137BD">
        <w:rPr>
          <w:rFonts w:ascii="Arial" w:hAnsi="Arial" w:cs="Arial"/>
        </w:rPr>
        <w:t>proposed enhanced service and who satisfy at appraisal and revalidation that they have such continuing medical experience, training and competence as is necessary to enable them to contract for the enhanced service shall be deemed professionally qualified to do so.</w:t>
      </w:r>
    </w:p>
    <w:p w:rsidR="00811381" w:rsidRDefault="00811381" w:rsidP="005B500E">
      <w:pPr>
        <w:jc w:val="both"/>
        <w:rPr>
          <w:rFonts w:ascii="Arial" w:hAnsi="Arial" w:cs="Arial"/>
          <w:b/>
        </w:rPr>
      </w:pPr>
    </w:p>
    <w:p w:rsidR="00E4190B" w:rsidRDefault="00363EEB" w:rsidP="005B500E">
      <w:pPr>
        <w:ind w:firstLine="360"/>
        <w:jc w:val="both"/>
        <w:rPr>
          <w:rFonts w:ascii="Arial" w:hAnsi="Arial" w:cs="Arial"/>
          <w:b/>
        </w:rPr>
      </w:pPr>
      <w:r>
        <w:rPr>
          <w:rFonts w:ascii="Arial" w:hAnsi="Arial" w:cs="Arial"/>
          <w:b/>
        </w:rPr>
        <w:t>Costs</w:t>
      </w:r>
    </w:p>
    <w:p w:rsidR="00A45E79" w:rsidRDefault="00A45E79" w:rsidP="005B500E">
      <w:pPr>
        <w:ind w:firstLine="360"/>
        <w:jc w:val="both"/>
        <w:rPr>
          <w:rFonts w:ascii="Arial" w:hAnsi="Arial" w:cs="Arial"/>
        </w:rPr>
      </w:pPr>
    </w:p>
    <w:p w:rsidR="00A137BD" w:rsidRPr="00A137BD" w:rsidRDefault="00444662" w:rsidP="005B500E">
      <w:pPr>
        <w:ind w:left="360"/>
        <w:jc w:val="both"/>
        <w:rPr>
          <w:rFonts w:ascii="Arial" w:hAnsi="Arial" w:cs="Arial"/>
        </w:rPr>
      </w:pPr>
      <w:r>
        <w:rPr>
          <w:rFonts w:ascii="Arial" w:hAnsi="Arial" w:cs="Arial"/>
        </w:rPr>
        <w:t>E</w:t>
      </w:r>
      <w:r w:rsidR="00A137BD" w:rsidRPr="00A137BD">
        <w:rPr>
          <w:rFonts w:ascii="Arial" w:hAnsi="Arial" w:cs="Arial"/>
        </w:rPr>
        <w:t>ach practice contracted to provide this service will receive a £79.90 insertion fee per patient and a £21.32 annual review fee per patient.</w:t>
      </w:r>
    </w:p>
    <w:p w:rsidR="005043DD" w:rsidRPr="00A137BD" w:rsidRDefault="005043DD" w:rsidP="005B500E">
      <w:pPr>
        <w:ind w:left="720" w:hanging="720"/>
        <w:jc w:val="both"/>
        <w:rPr>
          <w:rFonts w:ascii="Arial" w:hAnsi="Arial" w:cs="Arial"/>
          <w:lang w:eastAsia="en-GB"/>
        </w:rPr>
      </w:pPr>
    </w:p>
    <w:p w:rsidR="005043DD" w:rsidRPr="00A137BD" w:rsidRDefault="005043DD" w:rsidP="005B500E">
      <w:pPr>
        <w:ind w:left="720" w:hanging="720"/>
        <w:jc w:val="both"/>
        <w:rPr>
          <w:rFonts w:ascii="Arial" w:hAnsi="Arial" w:cs="Arial"/>
          <w:lang w:eastAsia="en-GB"/>
        </w:rPr>
      </w:pPr>
    </w:p>
    <w:p w:rsidR="003410C1" w:rsidRDefault="003410C1" w:rsidP="005B500E">
      <w:pPr>
        <w:pStyle w:val="BodyTextIndent"/>
        <w:ind w:left="0" w:firstLine="0"/>
        <w:jc w:val="both"/>
      </w:pPr>
    </w:p>
    <w:p w:rsidR="005E7931" w:rsidRDefault="00651813" w:rsidP="00F22D27">
      <w:r w:rsidRPr="005E7931">
        <w:rPr>
          <w:rFonts w:ascii="Arial" w:hAnsi="Arial" w:cs="Arial"/>
          <w:sz w:val="28"/>
        </w:rPr>
        <w:t xml:space="preserve"> </w:t>
      </w:r>
    </w:p>
    <w:sectPr w:rsidR="005E7931" w:rsidSect="00F22D27">
      <w:headerReference w:type="default" r:id="rId10"/>
      <w:footerReference w:type="even" r:id="rId11"/>
      <w:footerReference w:type="default" r:id="rId12"/>
      <w:pgSz w:w="11906" w:h="16838"/>
      <w:pgMar w:top="1440" w:right="99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F4" w:rsidRDefault="000F23F4">
      <w:r>
        <w:separator/>
      </w:r>
    </w:p>
  </w:endnote>
  <w:endnote w:type="continuationSeparator" w:id="0">
    <w:p w:rsidR="000F23F4" w:rsidRDefault="000F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D5" w:rsidRDefault="00CE3D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DD5" w:rsidRDefault="00CE3D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86761"/>
      <w:docPartObj>
        <w:docPartGallery w:val="Page Numbers (Bottom of Page)"/>
        <w:docPartUnique/>
      </w:docPartObj>
    </w:sdtPr>
    <w:sdtEndPr>
      <w:rPr>
        <w:noProof/>
      </w:rPr>
    </w:sdtEndPr>
    <w:sdtContent>
      <w:p w:rsidR="00F22D27" w:rsidRDefault="00F22D27">
        <w:pPr>
          <w:pStyle w:val="Footer"/>
          <w:jc w:val="right"/>
        </w:pPr>
        <w:r w:rsidRPr="00F22D27">
          <w:rPr>
            <w:rFonts w:ascii="Arial" w:hAnsi="Arial" w:cs="Arial"/>
          </w:rPr>
          <w:fldChar w:fldCharType="begin"/>
        </w:r>
        <w:r w:rsidRPr="00F22D27">
          <w:rPr>
            <w:rFonts w:ascii="Arial" w:hAnsi="Arial" w:cs="Arial"/>
          </w:rPr>
          <w:instrText xml:space="preserve"> PAGE   \* MERGEFORMAT </w:instrText>
        </w:r>
        <w:r w:rsidRPr="00F22D27">
          <w:rPr>
            <w:rFonts w:ascii="Arial" w:hAnsi="Arial" w:cs="Arial"/>
          </w:rPr>
          <w:fldChar w:fldCharType="separate"/>
        </w:r>
        <w:r w:rsidR="0033057F">
          <w:rPr>
            <w:rFonts w:ascii="Arial" w:hAnsi="Arial" w:cs="Arial"/>
            <w:noProof/>
          </w:rPr>
          <w:t>1</w:t>
        </w:r>
        <w:r w:rsidRPr="00F22D27">
          <w:rPr>
            <w:rFonts w:ascii="Arial" w:hAnsi="Arial" w:cs="Arial"/>
            <w:noProof/>
          </w:rPr>
          <w:fldChar w:fldCharType="end"/>
        </w:r>
      </w:p>
    </w:sdtContent>
  </w:sdt>
  <w:p w:rsidR="00CE3DD5" w:rsidRDefault="00CE3DD5">
    <w:pPr>
      <w:pStyle w:val="Footer"/>
      <w:ind w:right="360"/>
      <w:jc w:val="right"/>
      <w:rPr>
        <w:rFonts w:ascii="Arial" w:hAnsi="Arial" w:cs="Arial"/>
        <w:b/>
        <w:b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F4" w:rsidRDefault="000F23F4">
      <w:r>
        <w:separator/>
      </w:r>
    </w:p>
  </w:footnote>
  <w:footnote w:type="continuationSeparator" w:id="0">
    <w:p w:rsidR="000F23F4" w:rsidRDefault="000F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D5" w:rsidRPr="00F707AD" w:rsidRDefault="00CE3DD5">
    <w:pPr>
      <w:pStyle w:val="Header"/>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87A"/>
    <w:multiLevelType w:val="hybridMultilevel"/>
    <w:tmpl w:val="A1C81E1C"/>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FD0F44"/>
    <w:multiLevelType w:val="hybridMultilevel"/>
    <w:tmpl w:val="E6529B12"/>
    <w:lvl w:ilvl="0" w:tplc="342CFA7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17353"/>
    <w:multiLevelType w:val="hybridMultilevel"/>
    <w:tmpl w:val="1EDE9506"/>
    <w:lvl w:ilvl="0" w:tplc="342CFA7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6A0BD9"/>
    <w:multiLevelType w:val="hybridMultilevel"/>
    <w:tmpl w:val="752ED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804CD1"/>
    <w:multiLevelType w:val="hybridMultilevel"/>
    <w:tmpl w:val="29CCEF3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CC1FD7"/>
    <w:multiLevelType w:val="hybridMultilevel"/>
    <w:tmpl w:val="3522C152"/>
    <w:lvl w:ilvl="0" w:tplc="6132578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5F4624"/>
    <w:multiLevelType w:val="hybridMultilevel"/>
    <w:tmpl w:val="9A6E1224"/>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400869"/>
    <w:multiLevelType w:val="hybridMultilevel"/>
    <w:tmpl w:val="3F08A15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F12C34"/>
    <w:multiLevelType w:val="hybridMultilevel"/>
    <w:tmpl w:val="DD662D5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8970DC"/>
    <w:multiLevelType w:val="hybridMultilevel"/>
    <w:tmpl w:val="B172DC58"/>
    <w:lvl w:ilvl="0" w:tplc="59662B6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61A12AF"/>
    <w:multiLevelType w:val="hybridMultilevel"/>
    <w:tmpl w:val="12B04F0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780FB9"/>
    <w:multiLevelType w:val="hybridMultilevel"/>
    <w:tmpl w:val="61C8D51C"/>
    <w:lvl w:ilvl="0" w:tplc="342CFA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6A2302"/>
    <w:multiLevelType w:val="hybridMultilevel"/>
    <w:tmpl w:val="73BECA1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2D0E0F"/>
    <w:multiLevelType w:val="hybridMultilevel"/>
    <w:tmpl w:val="8BF6F530"/>
    <w:lvl w:ilvl="0" w:tplc="DB8AEE02">
      <w:start w:val="5"/>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06E4A66"/>
    <w:multiLevelType w:val="hybridMultilevel"/>
    <w:tmpl w:val="1FF8B4A4"/>
    <w:lvl w:ilvl="0" w:tplc="0409000F">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258551C"/>
    <w:multiLevelType w:val="hybridMultilevel"/>
    <w:tmpl w:val="B5C6F8AE"/>
    <w:lvl w:ilvl="0" w:tplc="04090013">
      <w:start w:val="1"/>
      <w:numFmt w:val="upperRoman"/>
      <w:lvlText w:val="%1."/>
      <w:lvlJc w:val="right"/>
      <w:pPr>
        <w:tabs>
          <w:tab w:val="num" w:pos="1140"/>
        </w:tabs>
        <w:ind w:left="1140" w:hanging="180"/>
      </w:pPr>
    </w:lvl>
    <w:lvl w:ilvl="1" w:tplc="0409001B">
      <w:start w:val="1"/>
      <w:numFmt w:val="lowerRoman"/>
      <w:lvlText w:val="%2."/>
      <w:lvlJc w:val="right"/>
      <w:pPr>
        <w:tabs>
          <w:tab w:val="num" w:pos="1860"/>
        </w:tabs>
        <w:ind w:left="1860" w:hanging="360"/>
      </w:pPr>
    </w:lvl>
    <w:lvl w:ilvl="2" w:tplc="E9EEFE9A">
      <w:start w:val="8"/>
      <w:numFmt w:val="decimal"/>
      <w:lvlText w:val="%3."/>
      <w:lvlJc w:val="left"/>
      <w:pPr>
        <w:tabs>
          <w:tab w:val="num" w:pos="2760"/>
        </w:tabs>
        <w:ind w:left="2760" w:hanging="360"/>
      </w:pPr>
      <w:rPr>
        <w:rFonts w:hint="default"/>
      </w:r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nsid w:val="23326C27"/>
    <w:multiLevelType w:val="hybridMultilevel"/>
    <w:tmpl w:val="D67837CE"/>
    <w:lvl w:ilvl="0" w:tplc="0409000F">
      <w:start w:val="6"/>
      <w:numFmt w:val="decimal"/>
      <w:lvlText w:val="%1."/>
      <w:lvlJc w:val="left"/>
      <w:pPr>
        <w:tabs>
          <w:tab w:val="num" w:pos="360"/>
        </w:tabs>
        <w:ind w:left="360" w:hanging="360"/>
      </w:pPr>
      <w:rPr>
        <w:rFonts w:hint="default"/>
      </w:rPr>
    </w:lvl>
    <w:lvl w:ilvl="1" w:tplc="04090013">
      <w:start w:val="1"/>
      <w:numFmt w:val="upperRoman"/>
      <w:lvlText w:val="%2."/>
      <w:lvlJc w:val="right"/>
      <w:pPr>
        <w:tabs>
          <w:tab w:val="num" w:pos="900"/>
        </w:tabs>
        <w:ind w:left="900" w:hanging="18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3635322"/>
    <w:multiLevelType w:val="hybridMultilevel"/>
    <w:tmpl w:val="0896D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090F59"/>
    <w:multiLevelType w:val="hybridMultilevel"/>
    <w:tmpl w:val="8F8C71A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F344E7"/>
    <w:multiLevelType w:val="hybridMultilevel"/>
    <w:tmpl w:val="D994AC94"/>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F62006"/>
    <w:multiLevelType w:val="hybridMultilevel"/>
    <w:tmpl w:val="8CFC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DF791D"/>
    <w:multiLevelType w:val="hybridMultilevel"/>
    <w:tmpl w:val="E11A371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5C7F3A"/>
    <w:multiLevelType w:val="hybridMultilevel"/>
    <w:tmpl w:val="5A56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E94EBA"/>
    <w:multiLevelType w:val="hybridMultilevel"/>
    <w:tmpl w:val="E886E0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F517C3"/>
    <w:multiLevelType w:val="hybridMultilevel"/>
    <w:tmpl w:val="7BA04FF0"/>
    <w:lvl w:ilvl="0" w:tplc="342CFA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1E2C31"/>
    <w:multiLevelType w:val="hybridMultilevel"/>
    <w:tmpl w:val="2356F830"/>
    <w:lvl w:ilvl="0" w:tplc="342CFA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2246D4"/>
    <w:multiLevelType w:val="hybridMultilevel"/>
    <w:tmpl w:val="CF207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E1478A"/>
    <w:multiLevelType w:val="hybridMultilevel"/>
    <w:tmpl w:val="ABF42C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082A81"/>
    <w:multiLevelType w:val="hybridMultilevel"/>
    <w:tmpl w:val="239467E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C37D24"/>
    <w:multiLevelType w:val="hybridMultilevel"/>
    <w:tmpl w:val="1D8E5B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EF1D22"/>
    <w:multiLevelType w:val="hybridMultilevel"/>
    <w:tmpl w:val="A552D74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AE2CD3"/>
    <w:multiLevelType w:val="hybridMultilevel"/>
    <w:tmpl w:val="84C88BD6"/>
    <w:lvl w:ilvl="0" w:tplc="32C86E3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A30192"/>
    <w:multiLevelType w:val="hybridMultilevel"/>
    <w:tmpl w:val="0186C4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A47310C"/>
    <w:multiLevelType w:val="hybridMultilevel"/>
    <w:tmpl w:val="513CFE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B7E3D06"/>
    <w:multiLevelType w:val="hybridMultilevel"/>
    <w:tmpl w:val="4F0878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C509C4"/>
    <w:multiLevelType w:val="hybridMultilevel"/>
    <w:tmpl w:val="75966D64"/>
    <w:lvl w:ilvl="0" w:tplc="19B6E1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F051709"/>
    <w:multiLevelType w:val="hybridMultilevel"/>
    <w:tmpl w:val="9DE0091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901337"/>
    <w:multiLevelType w:val="hybridMultilevel"/>
    <w:tmpl w:val="933E5F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C1476D1"/>
    <w:multiLevelType w:val="hybridMultilevel"/>
    <w:tmpl w:val="A4B085AC"/>
    <w:lvl w:ilvl="0" w:tplc="8A80CC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EA452DB"/>
    <w:multiLevelType w:val="hybridMultilevel"/>
    <w:tmpl w:val="E6C21F9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3926CA"/>
    <w:multiLevelType w:val="hybridMultilevel"/>
    <w:tmpl w:val="8B04B64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0418BC"/>
    <w:multiLevelType w:val="hybridMultilevel"/>
    <w:tmpl w:val="1DE66E0A"/>
    <w:lvl w:ilvl="0" w:tplc="438A56EA">
      <w:start w:val="1"/>
      <w:numFmt w:val="lowerRoman"/>
      <w:lvlText w:val="(%1)"/>
      <w:lvlJc w:val="left"/>
      <w:pPr>
        <w:tabs>
          <w:tab w:val="num" w:pos="1080"/>
        </w:tabs>
        <w:ind w:left="1080" w:hanging="720"/>
      </w:pPr>
      <w:rPr>
        <w:rFonts w:hint="default"/>
      </w:rPr>
    </w:lvl>
    <w:lvl w:ilvl="1" w:tplc="02804186">
      <w:start w:val="1"/>
      <w:numFmt w:val="lowerLetter"/>
      <w:lvlText w:val="(%2)"/>
      <w:lvlJc w:val="left"/>
      <w:pPr>
        <w:tabs>
          <w:tab w:val="num" w:pos="1725"/>
        </w:tabs>
        <w:ind w:left="1725" w:hanging="64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1A923C7"/>
    <w:multiLevelType w:val="hybridMultilevel"/>
    <w:tmpl w:val="977608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7892166"/>
    <w:multiLevelType w:val="hybridMultilevel"/>
    <w:tmpl w:val="7BDC0F5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0A74A5"/>
    <w:multiLevelType w:val="hybridMultilevel"/>
    <w:tmpl w:val="6734B726"/>
    <w:lvl w:ilvl="0" w:tplc="342CFA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
  </w:num>
  <w:num w:numId="3">
    <w:abstractNumId w:val="38"/>
  </w:num>
  <w:num w:numId="4">
    <w:abstractNumId w:val="8"/>
  </w:num>
  <w:num w:numId="5">
    <w:abstractNumId w:val="40"/>
  </w:num>
  <w:num w:numId="6">
    <w:abstractNumId w:val="4"/>
  </w:num>
  <w:num w:numId="7">
    <w:abstractNumId w:val="36"/>
  </w:num>
  <w:num w:numId="8">
    <w:abstractNumId w:val="10"/>
  </w:num>
  <w:num w:numId="9">
    <w:abstractNumId w:val="43"/>
  </w:num>
  <w:num w:numId="10">
    <w:abstractNumId w:val="14"/>
  </w:num>
  <w:num w:numId="11">
    <w:abstractNumId w:val="28"/>
  </w:num>
  <w:num w:numId="12">
    <w:abstractNumId w:val="21"/>
  </w:num>
  <w:num w:numId="13">
    <w:abstractNumId w:val="34"/>
  </w:num>
  <w:num w:numId="14">
    <w:abstractNumId w:val="23"/>
  </w:num>
  <w:num w:numId="15">
    <w:abstractNumId w:val="18"/>
  </w:num>
  <w:num w:numId="16">
    <w:abstractNumId w:val="19"/>
  </w:num>
  <w:num w:numId="17">
    <w:abstractNumId w:val="15"/>
  </w:num>
  <w:num w:numId="18">
    <w:abstractNumId w:val="0"/>
  </w:num>
  <w:num w:numId="19">
    <w:abstractNumId w:val="30"/>
  </w:num>
  <w:num w:numId="20">
    <w:abstractNumId w:val="31"/>
  </w:num>
  <w:num w:numId="21">
    <w:abstractNumId w:val="12"/>
  </w:num>
  <w:num w:numId="22">
    <w:abstractNumId w:val="27"/>
  </w:num>
  <w:num w:numId="23">
    <w:abstractNumId w:val="7"/>
  </w:num>
  <w:num w:numId="24">
    <w:abstractNumId w:val="42"/>
  </w:num>
  <w:num w:numId="25">
    <w:abstractNumId w:val="32"/>
  </w:num>
  <w:num w:numId="26">
    <w:abstractNumId w:val="16"/>
  </w:num>
  <w:num w:numId="27">
    <w:abstractNumId w:val="6"/>
  </w:num>
  <w:num w:numId="28">
    <w:abstractNumId w:val="37"/>
  </w:num>
  <w:num w:numId="29">
    <w:abstractNumId w:val="29"/>
  </w:num>
  <w:num w:numId="30">
    <w:abstractNumId w:val="1"/>
  </w:num>
  <w:num w:numId="31">
    <w:abstractNumId w:val="24"/>
  </w:num>
  <w:num w:numId="32">
    <w:abstractNumId w:val="11"/>
  </w:num>
  <w:num w:numId="33">
    <w:abstractNumId w:val="2"/>
  </w:num>
  <w:num w:numId="34">
    <w:abstractNumId w:val="25"/>
  </w:num>
  <w:num w:numId="35">
    <w:abstractNumId w:val="44"/>
  </w:num>
  <w:num w:numId="36">
    <w:abstractNumId w:val="39"/>
  </w:num>
  <w:num w:numId="37">
    <w:abstractNumId w:val="26"/>
  </w:num>
  <w:num w:numId="38">
    <w:abstractNumId w:val="17"/>
  </w:num>
  <w:num w:numId="39">
    <w:abstractNumId w:val="22"/>
  </w:num>
  <w:num w:numId="40">
    <w:abstractNumId w:val="9"/>
  </w:num>
  <w:num w:numId="41">
    <w:abstractNumId w:val="5"/>
  </w:num>
  <w:num w:numId="42">
    <w:abstractNumId w:val="41"/>
  </w:num>
  <w:num w:numId="43">
    <w:abstractNumId w:val="13"/>
  </w:num>
  <w:num w:numId="44">
    <w:abstractNumId w:val="2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82"/>
    <w:rsid w:val="00003174"/>
    <w:rsid w:val="00056035"/>
    <w:rsid w:val="000F23F4"/>
    <w:rsid w:val="001A1BB4"/>
    <w:rsid w:val="001A4BED"/>
    <w:rsid w:val="001C4FCB"/>
    <w:rsid w:val="001F4B9B"/>
    <w:rsid w:val="002221AA"/>
    <w:rsid w:val="00237938"/>
    <w:rsid w:val="00273E04"/>
    <w:rsid w:val="00296159"/>
    <w:rsid w:val="002D29BA"/>
    <w:rsid w:val="002D6CFD"/>
    <w:rsid w:val="002F4D1E"/>
    <w:rsid w:val="0033057F"/>
    <w:rsid w:val="003410C1"/>
    <w:rsid w:val="00363EEB"/>
    <w:rsid w:val="003D75EC"/>
    <w:rsid w:val="0042692B"/>
    <w:rsid w:val="00444662"/>
    <w:rsid w:val="00486B8F"/>
    <w:rsid w:val="004A2041"/>
    <w:rsid w:val="004D5E1F"/>
    <w:rsid w:val="004E00D2"/>
    <w:rsid w:val="005043DD"/>
    <w:rsid w:val="00513102"/>
    <w:rsid w:val="0058498A"/>
    <w:rsid w:val="005B500E"/>
    <w:rsid w:val="005E7931"/>
    <w:rsid w:val="00601A72"/>
    <w:rsid w:val="00610C2E"/>
    <w:rsid w:val="00651813"/>
    <w:rsid w:val="0065204A"/>
    <w:rsid w:val="00687DF1"/>
    <w:rsid w:val="006C29A1"/>
    <w:rsid w:val="00702EB6"/>
    <w:rsid w:val="00704543"/>
    <w:rsid w:val="00713C2F"/>
    <w:rsid w:val="00715335"/>
    <w:rsid w:val="00771871"/>
    <w:rsid w:val="007B0936"/>
    <w:rsid w:val="007B30D1"/>
    <w:rsid w:val="007C7BFA"/>
    <w:rsid w:val="007D4834"/>
    <w:rsid w:val="00811381"/>
    <w:rsid w:val="008250B3"/>
    <w:rsid w:val="00876811"/>
    <w:rsid w:val="008A0BF1"/>
    <w:rsid w:val="0091345D"/>
    <w:rsid w:val="00943FE6"/>
    <w:rsid w:val="00962AA6"/>
    <w:rsid w:val="00971F82"/>
    <w:rsid w:val="009C3EB7"/>
    <w:rsid w:val="009C728B"/>
    <w:rsid w:val="00A137BD"/>
    <w:rsid w:val="00A208B6"/>
    <w:rsid w:val="00A26390"/>
    <w:rsid w:val="00A45E79"/>
    <w:rsid w:val="00A9700C"/>
    <w:rsid w:val="00AC7347"/>
    <w:rsid w:val="00AC7898"/>
    <w:rsid w:val="00AE12AF"/>
    <w:rsid w:val="00AF7734"/>
    <w:rsid w:val="00B31F02"/>
    <w:rsid w:val="00B5784A"/>
    <w:rsid w:val="00BA1E24"/>
    <w:rsid w:val="00C31727"/>
    <w:rsid w:val="00C53078"/>
    <w:rsid w:val="00C64C73"/>
    <w:rsid w:val="00CC15DF"/>
    <w:rsid w:val="00CE3DD5"/>
    <w:rsid w:val="00D01E0E"/>
    <w:rsid w:val="00D26DF0"/>
    <w:rsid w:val="00D73AE6"/>
    <w:rsid w:val="00D82FB9"/>
    <w:rsid w:val="00DC20D8"/>
    <w:rsid w:val="00DD4D55"/>
    <w:rsid w:val="00E0398B"/>
    <w:rsid w:val="00E4190B"/>
    <w:rsid w:val="00E440F6"/>
    <w:rsid w:val="00E5035D"/>
    <w:rsid w:val="00EB2B61"/>
    <w:rsid w:val="00ED0166"/>
    <w:rsid w:val="00ED022B"/>
    <w:rsid w:val="00F22D27"/>
    <w:rsid w:val="00F61DDC"/>
    <w:rsid w:val="00F707AD"/>
    <w:rsid w:val="00FD50CA"/>
    <w:rsid w:val="00FE7B85"/>
    <w:rsid w:val="00FF1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ind w:left="360" w:hanging="360"/>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Indent2">
    <w:name w:val="Body Text Indent 2"/>
    <w:basedOn w:val="Normal"/>
    <w:pPr>
      <w:ind w:left="720"/>
    </w:pPr>
    <w:rPr>
      <w:rFonts w:ascii="Arial" w:hAnsi="Arial" w:cs="Arial"/>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alloonText">
    <w:name w:val="Balloon Text"/>
    <w:basedOn w:val="Normal"/>
    <w:link w:val="BalloonTextChar"/>
    <w:rsid w:val="00943FE6"/>
    <w:rPr>
      <w:rFonts w:ascii="Tahoma" w:hAnsi="Tahoma" w:cs="Tahoma"/>
      <w:sz w:val="16"/>
      <w:szCs w:val="16"/>
    </w:rPr>
  </w:style>
  <w:style w:type="character" w:customStyle="1" w:styleId="BalloonTextChar">
    <w:name w:val="Balloon Text Char"/>
    <w:link w:val="BalloonText"/>
    <w:rsid w:val="00943FE6"/>
    <w:rPr>
      <w:rFonts w:ascii="Tahoma" w:hAnsi="Tahoma" w:cs="Tahoma"/>
      <w:sz w:val="16"/>
      <w:szCs w:val="16"/>
      <w:lang w:eastAsia="en-US"/>
    </w:rPr>
  </w:style>
  <w:style w:type="character" w:customStyle="1" w:styleId="FooterChar">
    <w:name w:val="Footer Char"/>
    <w:link w:val="Footer"/>
    <w:uiPriority w:val="99"/>
    <w:rsid w:val="0065204A"/>
    <w:rPr>
      <w:sz w:val="24"/>
      <w:szCs w:val="24"/>
      <w:lang w:eastAsia="en-US"/>
    </w:rPr>
  </w:style>
  <w:style w:type="paragraph" w:styleId="BodyText3">
    <w:name w:val="Body Text 3"/>
    <w:basedOn w:val="Normal"/>
    <w:link w:val="BodyText3Char"/>
    <w:rsid w:val="005E7931"/>
    <w:pPr>
      <w:spacing w:after="120"/>
    </w:pPr>
    <w:rPr>
      <w:sz w:val="16"/>
      <w:szCs w:val="16"/>
    </w:rPr>
  </w:style>
  <w:style w:type="character" w:customStyle="1" w:styleId="BodyText3Char">
    <w:name w:val="Body Text 3 Char"/>
    <w:basedOn w:val="DefaultParagraphFont"/>
    <w:link w:val="BodyText3"/>
    <w:rsid w:val="005E7931"/>
    <w:rPr>
      <w:sz w:val="16"/>
      <w:szCs w:val="16"/>
      <w:lang w:eastAsia="en-US"/>
    </w:rPr>
  </w:style>
  <w:style w:type="paragraph" w:styleId="ListParagraph">
    <w:name w:val="List Paragraph"/>
    <w:basedOn w:val="Normal"/>
    <w:uiPriority w:val="34"/>
    <w:qFormat/>
    <w:rsid w:val="00A45E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ind w:left="360" w:hanging="360"/>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BodyTextIndent2">
    <w:name w:val="Body Text Indent 2"/>
    <w:basedOn w:val="Normal"/>
    <w:pPr>
      <w:ind w:left="720"/>
    </w:pPr>
    <w:rPr>
      <w:rFonts w:ascii="Arial" w:hAnsi="Arial" w:cs="Arial"/>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alloonText">
    <w:name w:val="Balloon Text"/>
    <w:basedOn w:val="Normal"/>
    <w:link w:val="BalloonTextChar"/>
    <w:rsid w:val="00943FE6"/>
    <w:rPr>
      <w:rFonts w:ascii="Tahoma" w:hAnsi="Tahoma" w:cs="Tahoma"/>
      <w:sz w:val="16"/>
      <w:szCs w:val="16"/>
    </w:rPr>
  </w:style>
  <w:style w:type="character" w:customStyle="1" w:styleId="BalloonTextChar">
    <w:name w:val="Balloon Text Char"/>
    <w:link w:val="BalloonText"/>
    <w:rsid w:val="00943FE6"/>
    <w:rPr>
      <w:rFonts w:ascii="Tahoma" w:hAnsi="Tahoma" w:cs="Tahoma"/>
      <w:sz w:val="16"/>
      <w:szCs w:val="16"/>
      <w:lang w:eastAsia="en-US"/>
    </w:rPr>
  </w:style>
  <w:style w:type="character" w:customStyle="1" w:styleId="FooterChar">
    <w:name w:val="Footer Char"/>
    <w:link w:val="Footer"/>
    <w:uiPriority w:val="99"/>
    <w:rsid w:val="0065204A"/>
    <w:rPr>
      <w:sz w:val="24"/>
      <w:szCs w:val="24"/>
      <w:lang w:eastAsia="en-US"/>
    </w:rPr>
  </w:style>
  <w:style w:type="paragraph" w:styleId="BodyText3">
    <w:name w:val="Body Text 3"/>
    <w:basedOn w:val="Normal"/>
    <w:link w:val="BodyText3Char"/>
    <w:rsid w:val="005E7931"/>
    <w:pPr>
      <w:spacing w:after="120"/>
    </w:pPr>
    <w:rPr>
      <w:sz w:val="16"/>
      <w:szCs w:val="16"/>
    </w:rPr>
  </w:style>
  <w:style w:type="character" w:customStyle="1" w:styleId="BodyText3Char">
    <w:name w:val="Body Text 3 Char"/>
    <w:basedOn w:val="DefaultParagraphFont"/>
    <w:link w:val="BodyText3"/>
    <w:rsid w:val="005E7931"/>
    <w:rPr>
      <w:sz w:val="16"/>
      <w:szCs w:val="16"/>
      <w:lang w:eastAsia="en-US"/>
    </w:rPr>
  </w:style>
  <w:style w:type="paragraph" w:styleId="ListParagraph">
    <w:name w:val="List Paragraph"/>
    <w:basedOn w:val="Normal"/>
    <w:uiPriority w:val="34"/>
    <w:qFormat/>
    <w:rsid w:val="00A45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88152">
      <w:bodyDiv w:val="1"/>
      <w:marLeft w:val="0"/>
      <w:marRight w:val="0"/>
      <w:marTop w:val="0"/>
      <w:marBottom w:val="0"/>
      <w:divBdr>
        <w:top w:val="none" w:sz="0" w:space="0" w:color="auto"/>
        <w:left w:val="none" w:sz="0" w:space="0" w:color="auto"/>
        <w:bottom w:val="none" w:sz="0" w:space="0" w:color="auto"/>
        <w:right w:val="none" w:sz="0" w:space="0" w:color="auto"/>
      </w:divBdr>
    </w:div>
    <w:div w:id="1177379853">
      <w:bodyDiv w:val="1"/>
      <w:marLeft w:val="0"/>
      <w:marRight w:val="0"/>
      <w:marTop w:val="0"/>
      <w:marBottom w:val="0"/>
      <w:divBdr>
        <w:top w:val="none" w:sz="0" w:space="0" w:color="auto"/>
        <w:left w:val="none" w:sz="0" w:space="0" w:color="auto"/>
        <w:bottom w:val="none" w:sz="0" w:space="0" w:color="auto"/>
        <w:right w:val="none" w:sz="0" w:space="0" w:color="auto"/>
      </w:divBdr>
      <w:divsChild>
        <w:div w:id="889727801">
          <w:marLeft w:val="0"/>
          <w:marRight w:val="0"/>
          <w:marTop w:val="0"/>
          <w:marBottom w:val="0"/>
          <w:divBdr>
            <w:top w:val="none" w:sz="0" w:space="0" w:color="auto"/>
            <w:left w:val="none" w:sz="0" w:space="0" w:color="auto"/>
            <w:bottom w:val="none" w:sz="0" w:space="0" w:color="auto"/>
            <w:right w:val="none" w:sz="0" w:space="0" w:color="auto"/>
          </w:divBdr>
          <w:divsChild>
            <w:div w:id="1691030070">
              <w:marLeft w:val="0"/>
              <w:marRight w:val="0"/>
              <w:marTop w:val="0"/>
              <w:marBottom w:val="0"/>
              <w:divBdr>
                <w:top w:val="none" w:sz="0" w:space="0" w:color="auto"/>
                <w:left w:val="none" w:sz="0" w:space="0" w:color="auto"/>
                <w:bottom w:val="none" w:sz="0" w:space="0" w:color="auto"/>
                <w:right w:val="none" w:sz="0" w:space="0" w:color="auto"/>
              </w:divBdr>
              <w:divsChild>
                <w:div w:id="106780390">
                  <w:marLeft w:val="0"/>
                  <w:marRight w:val="0"/>
                  <w:marTop w:val="0"/>
                  <w:marBottom w:val="0"/>
                  <w:divBdr>
                    <w:top w:val="none" w:sz="0" w:space="0" w:color="auto"/>
                    <w:left w:val="none" w:sz="0" w:space="0" w:color="auto"/>
                    <w:bottom w:val="none" w:sz="0" w:space="0" w:color="auto"/>
                    <w:right w:val="none" w:sz="0" w:space="0" w:color="auto"/>
                  </w:divBdr>
                  <w:divsChild>
                    <w:div w:id="1102535860">
                      <w:marLeft w:val="0"/>
                      <w:marRight w:val="0"/>
                      <w:marTop w:val="0"/>
                      <w:marBottom w:val="0"/>
                      <w:divBdr>
                        <w:top w:val="none" w:sz="0" w:space="0" w:color="auto"/>
                        <w:left w:val="none" w:sz="0" w:space="0" w:color="auto"/>
                        <w:bottom w:val="none" w:sz="0" w:space="0" w:color="auto"/>
                        <w:right w:val="none" w:sz="0" w:space="0" w:color="auto"/>
                      </w:divBdr>
                      <w:divsChild>
                        <w:div w:id="1397819955">
                          <w:marLeft w:val="0"/>
                          <w:marRight w:val="0"/>
                          <w:marTop w:val="0"/>
                          <w:marBottom w:val="0"/>
                          <w:divBdr>
                            <w:top w:val="none" w:sz="0" w:space="0" w:color="auto"/>
                            <w:left w:val="none" w:sz="0" w:space="0" w:color="auto"/>
                            <w:bottom w:val="none" w:sz="0" w:space="0" w:color="auto"/>
                            <w:right w:val="none" w:sz="0" w:space="0" w:color="auto"/>
                          </w:divBdr>
                          <w:divsChild>
                            <w:div w:id="379595114">
                              <w:marLeft w:val="0"/>
                              <w:marRight w:val="0"/>
                              <w:marTop w:val="0"/>
                              <w:marBottom w:val="0"/>
                              <w:divBdr>
                                <w:top w:val="none" w:sz="0" w:space="0" w:color="auto"/>
                                <w:left w:val="none" w:sz="0" w:space="0" w:color="auto"/>
                                <w:bottom w:val="none" w:sz="0" w:space="0" w:color="auto"/>
                                <w:right w:val="none" w:sz="0" w:space="0" w:color="auto"/>
                              </w:divBdr>
                              <w:divsChild>
                                <w:div w:id="1983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207387">
      <w:bodyDiv w:val="1"/>
      <w:marLeft w:val="0"/>
      <w:marRight w:val="0"/>
      <w:marTop w:val="0"/>
      <w:marBottom w:val="0"/>
      <w:divBdr>
        <w:top w:val="none" w:sz="0" w:space="0" w:color="auto"/>
        <w:left w:val="none" w:sz="0" w:space="0" w:color="auto"/>
        <w:bottom w:val="none" w:sz="0" w:space="0" w:color="auto"/>
        <w:right w:val="none" w:sz="0" w:space="0" w:color="auto"/>
      </w:divBdr>
    </w:div>
    <w:div w:id="1687370239">
      <w:bodyDiv w:val="1"/>
      <w:marLeft w:val="0"/>
      <w:marRight w:val="0"/>
      <w:marTop w:val="0"/>
      <w:marBottom w:val="0"/>
      <w:divBdr>
        <w:top w:val="none" w:sz="0" w:space="0" w:color="auto"/>
        <w:left w:val="none" w:sz="0" w:space="0" w:color="auto"/>
        <w:bottom w:val="none" w:sz="0" w:space="0" w:color="auto"/>
        <w:right w:val="none" w:sz="0" w:space="0" w:color="auto"/>
      </w:divBdr>
    </w:div>
    <w:div w:id="20722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thways.nice.org.uk/pathways/long-acting-reversible-contracep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1603</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Local Enhanced Service</vt:lpstr>
    </vt:vector>
  </TitlesOfParts>
  <Company>Doncaster Central PCT</Company>
  <LinksUpToDate>false</LinksUpToDate>
  <CharactersWithSpaces>10661</CharactersWithSpaces>
  <SharedDoc>false</SharedDoc>
  <HLinks>
    <vt:vector size="6" baseType="variant">
      <vt:variant>
        <vt:i4>5373964</vt:i4>
      </vt:variant>
      <vt:variant>
        <vt:i4>0</vt:i4>
      </vt:variant>
      <vt:variant>
        <vt:i4>0</vt:i4>
      </vt:variant>
      <vt:variant>
        <vt:i4>5</vt:i4>
      </vt:variant>
      <vt:variant>
        <vt:lpwstr>http://pathways.nice.org.uk/pathways/long-acting-reversible-contraception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Enhanced Service</dc:title>
  <dc:creator>St Vincent Practice</dc:creator>
  <cp:lastModifiedBy>Wastnage, Kayleigh</cp:lastModifiedBy>
  <cp:revision>4</cp:revision>
  <cp:lastPrinted>2014-11-19T08:15:00Z</cp:lastPrinted>
  <dcterms:created xsi:type="dcterms:W3CDTF">2016-06-20T09:20:00Z</dcterms:created>
  <dcterms:modified xsi:type="dcterms:W3CDTF">2017-01-30T15:00:00Z</dcterms:modified>
</cp:coreProperties>
</file>