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3C" w:rsidRPr="00167FCC" w:rsidRDefault="006A740B" w:rsidP="00DD393C">
      <w:pPr>
        <w:ind w:left="720" w:firstLine="720"/>
        <w:jc w:val="right"/>
        <w:rPr>
          <w:rFonts w:ascii="Arial" w:hAnsi="Arial" w:cs="Arial"/>
          <w:b/>
        </w:rPr>
      </w:pPr>
      <w:r>
        <w:rPr>
          <w:rFonts w:ascii="Arial" w:hAnsi="Arial" w:cs="Arial"/>
          <w:b/>
          <w:noProof/>
          <w:lang w:eastAsia="en-GB"/>
        </w:rPr>
        <w:drawing>
          <wp:anchor distT="0" distB="0" distL="114300" distR="114300" simplePos="0" relativeHeight="251664896" behindDoc="1" locked="0" layoutInCell="1" allowOverlap="1" wp14:anchorId="39389426" wp14:editId="4A9850C4">
            <wp:simplePos x="0" y="0"/>
            <wp:positionH relativeFrom="column">
              <wp:posOffset>4181475</wp:posOffset>
            </wp:positionH>
            <wp:positionV relativeFrom="paragraph">
              <wp:posOffset>-691515</wp:posOffset>
            </wp:positionV>
            <wp:extent cx="2438400"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r w:rsidR="000C0304" w:rsidRPr="00167FCC">
        <w:rPr>
          <w:rFonts w:ascii="Arial" w:hAnsi="Arial" w:cs="Arial"/>
        </w:rPr>
        <w:t xml:space="preserve">  </w:t>
      </w:r>
      <w:r w:rsidR="000C0304" w:rsidRPr="00167FCC">
        <w:rPr>
          <w:rFonts w:ascii="Arial" w:hAnsi="Arial" w:cs="Arial"/>
        </w:rPr>
        <w:tab/>
      </w:r>
      <w:r w:rsidR="000C0304" w:rsidRPr="00167FCC">
        <w:rPr>
          <w:rFonts w:ascii="Arial" w:hAnsi="Arial" w:cs="Arial"/>
        </w:rPr>
        <w:tab/>
      </w:r>
      <w:r w:rsidR="000C0304" w:rsidRPr="00167FCC">
        <w:rPr>
          <w:rFonts w:ascii="Arial" w:hAnsi="Arial" w:cs="Arial"/>
        </w:rPr>
        <w:tab/>
      </w:r>
      <w:r w:rsidR="000C0304" w:rsidRPr="00167FCC">
        <w:rPr>
          <w:rFonts w:ascii="Arial" w:hAnsi="Arial" w:cs="Arial"/>
        </w:rPr>
        <w:tab/>
      </w:r>
      <w:r w:rsidR="000C0304" w:rsidRPr="00167FCC">
        <w:rPr>
          <w:rFonts w:ascii="Arial" w:hAnsi="Arial" w:cs="Arial"/>
        </w:rPr>
        <w:tab/>
      </w:r>
    </w:p>
    <w:p w:rsidR="00DD393C" w:rsidRDefault="00DD393C" w:rsidP="00DD393C">
      <w:pPr>
        <w:ind w:left="720" w:firstLine="720"/>
        <w:jc w:val="center"/>
        <w:rPr>
          <w:rFonts w:ascii="Arial" w:hAnsi="Arial" w:cs="Arial"/>
          <w:b/>
        </w:rPr>
      </w:pPr>
    </w:p>
    <w:p w:rsidR="0051478F" w:rsidRPr="00167FCC" w:rsidRDefault="0051478F" w:rsidP="00DD393C">
      <w:pPr>
        <w:ind w:left="720" w:firstLine="720"/>
        <w:jc w:val="center"/>
        <w:rPr>
          <w:rFonts w:ascii="Arial" w:hAnsi="Arial" w:cs="Arial"/>
          <w:b/>
        </w:rPr>
      </w:pPr>
    </w:p>
    <w:p w:rsidR="00DD393C" w:rsidRPr="00167FCC" w:rsidRDefault="00DD393C" w:rsidP="00DD393C">
      <w:pPr>
        <w:jc w:val="center"/>
        <w:rPr>
          <w:rFonts w:ascii="Arial" w:hAnsi="Arial" w:cs="Arial"/>
          <w:b/>
        </w:rPr>
      </w:pPr>
      <w:r w:rsidRPr="00167FCC">
        <w:rPr>
          <w:rFonts w:ascii="Arial" w:hAnsi="Arial" w:cs="Arial"/>
          <w:b/>
        </w:rPr>
        <w:t>Service Specification for Minor Surgery Non Registered Patients</w:t>
      </w:r>
    </w:p>
    <w:p w:rsidR="00DD393C" w:rsidRPr="00167FCC" w:rsidRDefault="00DD393C" w:rsidP="00DD393C">
      <w:pPr>
        <w:jc w:val="center"/>
        <w:rPr>
          <w:rFonts w:ascii="Arial" w:hAnsi="Arial" w:cs="Arial"/>
          <w:b/>
        </w:rPr>
      </w:pPr>
    </w:p>
    <w:p w:rsidR="00DD393C" w:rsidRPr="00167FCC" w:rsidRDefault="00DD393C" w:rsidP="00DD393C">
      <w:pPr>
        <w:jc w:val="center"/>
        <w:rPr>
          <w:rFonts w:ascii="Arial" w:hAnsi="Arial" w:cs="Arial"/>
          <w:b/>
        </w:rPr>
      </w:pPr>
      <w:r w:rsidRPr="00167FCC">
        <w:rPr>
          <w:rFonts w:ascii="Arial" w:hAnsi="Arial" w:cs="Arial"/>
          <w:b/>
        </w:rPr>
        <w:t>Period: 1</w:t>
      </w:r>
      <w:r w:rsidRPr="00167FCC">
        <w:rPr>
          <w:rFonts w:ascii="Arial" w:hAnsi="Arial" w:cs="Arial"/>
          <w:b/>
          <w:vertAlign w:val="superscript"/>
        </w:rPr>
        <w:t>st</w:t>
      </w:r>
      <w:r w:rsidR="007059B2">
        <w:rPr>
          <w:rFonts w:ascii="Arial" w:hAnsi="Arial" w:cs="Arial"/>
          <w:b/>
        </w:rPr>
        <w:t xml:space="preserve"> April 201</w:t>
      </w:r>
      <w:r w:rsidR="006A740B">
        <w:rPr>
          <w:rFonts w:ascii="Arial" w:hAnsi="Arial" w:cs="Arial"/>
          <w:b/>
        </w:rPr>
        <w:t>7</w:t>
      </w:r>
      <w:r w:rsidRPr="00167FCC">
        <w:rPr>
          <w:rFonts w:ascii="Arial" w:hAnsi="Arial" w:cs="Arial"/>
          <w:b/>
        </w:rPr>
        <w:t xml:space="preserve"> to 31</w:t>
      </w:r>
      <w:r w:rsidRPr="00167FCC">
        <w:rPr>
          <w:rFonts w:ascii="Arial" w:hAnsi="Arial" w:cs="Arial"/>
          <w:b/>
          <w:vertAlign w:val="superscript"/>
        </w:rPr>
        <w:t>st</w:t>
      </w:r>
      <w:r w:rsidR="006A740B">
        <w:rPr>
          <w:rFonts w:ascii="Arial" w:hAnsi="Arial" w:cs="Arial"/>
          <w:b/>
        </w:rPr>
        <w:t xml:space="preserve"> March 2018</w:t>
      </w:r>
    </w:p>
    <w:p w:rsidR="00DD393C" w:rsidRPr="00167FCC" w:rsidRDefault="00DD393C" w:rsidP="00DD393C">
      <w:pPr>
        <w:jc w:val="center"/>
        <w:rPr>
          <w:rFonts w:ascii="Arial" w:hAnsi="Arial" w:cs="Arial"/>
          <w:b/>
        </w:rPr>
      </w:pPr>
      <w:r w:rsidRPr="00167FCC">
        <w:rPr>
          <w:rFonts w:ascii="Arial" w:hAnsi="Arial" w:cs="Arial"/>
          <w:b/>
        </w:rPr>
        <w:t>Date of Review: Annual</w:t>
      </w:r>
    </w:p>
    <w:p w:rsidR="00B31DC2" w:rsidRPr="00167FCC" w:rsidRDefault="00B31DC2" w:rsidP="00DD393C">
      <w:pPr>
        <w:pStyle w:val="Heading1"/>
        <w:tabs>
          <w:tab w:val="right" w:pos="2700"/>
        </w:tabs>
        <w:rPr>
          <w:sz w:val="24"/>
        </w:rPr>
      </w:pPr>
    </w:p>
    <w:p w:rsidR="00B31DC2" w:rsidRPr="00167FCC" w:rsidRDefault="00B31DC2">
      <w:pPr>
        <w:jc w:val="center"/>
        <w:rPr>
          <w:rFonts w:ascii="Arial" w:hAnsi="Arial" w:cs="Arial"/>
        </w:rPr>
      </w:pPr>
    </w:p>
    <w:p w:rsidR="005C4B5A" w:rsidRPr="005C4B5A" w:rsidRDefault="005C4B5A" w:rsidP="005C4B5A">
      <w:pPr>
        <w:rPr>
          <w:rFonts w:ascii="Arial" w:hAnsi="Arial" w:cs="Arial"/>
          <w:b/>
          <w:bCs/>
        </w:rPr>
      </w:pPr>
      <w:r w:rsidRPr="005C4B5A">
        <w:rPr>
          <w:rFonts w:ascii="Arial" w:hAnsi="Arial" w:cs="Arial"/>
          <w:b/>
          <w:bCs/>
        </w:rPr>
        <w:t>Introduction</w:t>
      </w:r>
    </w:p>
    <w:p w:rsidR="005C4B5A" w:rsidRPr="005C4B5A" w:rsidRDefault="005C4B5A" w:rsidP="005C4B5A">
      <w:pPr>
        <w:rPr>
          <w:rFonts w:ascii="Arial" w:hAnsi="Arial" w:cs="Arial"/>
          <w:b/>
          <w:bCs/>
        </w:rPr>
      </w:pPr>
    </w:p>
    <w:p w:rsidR="005C4B5A" w:rsidRPr="005C4B5A" w:rsidRDefault="005C4B5A" w:rsidP="005C4B5A">
      <w:pPr>
        <w:rPr>
          <w:rFonts w:ascii="Arial" w:hAnsi="Arial" w:cs="Arial"/>
        </w:rPr>
      </w:pPr>
      <w:r w:rsidRPr="005C4B5A">
        <w:rPr>
          <w:rFonts w:ascii="Arial" w:hAnsi="Arial" w:cs="Arial"/>
        </w:rPr>
        <w:t xml:space="preserve">All practices are expected to provide essential and those additional services they are contracted to provide to all their patients.  </w:t>
      </w:r>
    </w:p>
    <w:p w:rsidR="005C4B5A" w:rsidRPr="005C4B5A" w:rsidRDefault="005C4B5A" w:rsidP="005C4B5A">
      <w:pPr>
        <w:rPr>
          <w:rFonts w:ascii="Arial" w:hAnsi="Arial" w:cs="Arial"/>
        </w:rPr>
      </w:pPr>
    </w:p>
    <w:p w:rsidR="005C4B5A" w:rsidRPr="005C4B5A" w:rsidRDefault="005C4B5A" w:rsidP="005C4B5A">
      <w:pPr>
        <w:rPr>
          <w:rFonts w:ascii="Arial" w:hAnsi="Arial" w:cs="Arial"/>
        </w:rPr>
      </w:pPr>
      <w:r w:rsidRPr="005C4B5A">
        <w:rPr>
          <w:rFonts w:ascii="Arial" w:hAnsi="Arial" w:cs="Arial"/>
        </w:rPr>
        <w:t xml:space="preserve">This enhanced service specification outlines the more specialised services to be provided.  The specification of this service is designed to cover the enhanced aspects of clinical care of the patient, all of which are beyond the scope of essential services.  </w:t>
      </w:r>
    </w:p>
    <w:p w:rsidR="005C4B5A" w:rsidRPr="005C4B5A" w:rsidRDefault="005C4B5A" w:rsidP="005C4B5A">
      <w:pPr>
        <w:rPr>
          <w:rFonts w:ascii="Arial" w:hAnsi="Arial" w:cs="Arial"/>
        </w:rPr>
      </w:pPr>
    </w:p>
    <w:p w:rsidR="005C4B5A" w:rsidRPr="005C4B5A" w:rsidRDefault="005C4B5A" w:rsidP="005C4B5A">
      <w:pPr>
        <w:rPr>
          <w:rFonts w:ascii="Arial" w:hAnsi="Arial" w:cs="Arial"/>
        </w:rPr>
      </w:pPr>
      <w:r w:rsidRPr="005C4B5A">
        <w:rPr>
          <w:rFonts w:ascii="Arial" w:hAnsi="Arial" w:cs="Arial"/>
        </w:rPr>
        <w:t>No part of the specification by commission, omission or implication defines or redefines essential or additional services.</w:t>
      </w:r>
    </w:p>
    <w:p w:rsidR="00B31DC2" w:rsidRPr="00167FCC" w:rsidRDefault="00B31DC2">
      <w:pPr>
        <w:jc w:val="both"/>
        <w:rPr>
          <w:rFonts w:ascii="Arial" w:hAnsi="Arial" w:cs="Arial"/>
        </w:rPr>
      </w:pPr>
    </w:p>
    <w:p w:rsidR="00B31DC2" w:rsidRPr="00167FCC" w:rsidRDefault="00B31DC2">
      <w:pPr>
        <w:pStyle w:val="Heading3"/>
        <w:jc w:val="both"/>
      </w:pPr>
      <w:r w:rsidRPr="00167FCC">
        <w:t>Background</w:t>
      </w:r>
    </w:p>
    <w:p w:rsidR="00B31DC2" w:rsidRPr="00167FCC" w:rsidRDefault="00B31DC2">
      <w:pPr>
        <w:jc w:val="both"/>
        <w:rPr>
          <w:rFonts w:ascii="Arial" w:hAnsi="Arial" w:cs="Arial"/>
        </w:rPr>
      </w:pPr>
    </w:p>
    <w:p w:rsidR="00B31DC2" w:rsidRPr="00121637" w:rsidRDefault="00F13750" w:rsidP="009B4D24">
      <w:pPr>
        <w:rPr>
          <w:rFonts w:ascii="Arial" w:hAnsi="Arial" w:cs="Arial"/>
        </w:rPr>
      </w:pPr>
      <w:r w:rsidRPr="00121637">
        <w:rPr>
          <w:rFonts w:ascii="Arial" w:hAnsi="Arial" w:cs="Arial"/>
        </w:rPr>
        <w:t xml:space="preserve">NHS England contracts for minor surgery procedures (registered patients) through the </w:t>
      </w:r>
      <w:r w:rsidR="00B31DC2" w:rsidRPr="00121637">
        <w:rPr>
          <w:rFonts w:ascii="Arial" w:hAnsi="Arial" w:cs="Arial"/>
        </w:rPr>
        <w:t>Directed Enhanced Service (DES) for Minor Surgery.</w:t>
      </w:r>
    </w:p>
    <w:p w:rsidR="00B31DC2" w:rsidRPr="00121637" w:rsidRDefault="00B31DC2" w:rsidP="004725C0">
      <w:pPr>
        <w:tabs>
          <w:tab w:val="num" w:pos="540"/>
        </w:tabs>
        <w:ind w:left="540" w:hanging="540"/>
        <w:jc w:val="both"/>
        <w:rPr>
          <w:rFonts w:ascii="Arial" w:hAnsi="Arial" w:cs="Arial"/>
        </w:rPr>
      </w:pPr>
    </w:p>
    <w:p w:rsidR="00B31DC2" w:rsidRPr="00121637" w:rsidRDefault="00B31DC2" w:rsidP="009B4D24">
      <w:pPr>
        <w:pStyle w:val="BodyTextIndent3"/>
        <w:tabs>
          <w:tab w:val="num" w:pos="0"/>
        </w:tabs>
        <w:ind w:left="0"/>
        <w:jc w:val="left"/>
        <w:rPr>
          <w:color w:val="auto"/>
        </w:rPr>
      </w:pPr>
      <w:r w:rsidRPr="00121637">
        <w:rPr>
          <w:color w:val="auto"/>
        </w:rPr>
        <w:t>Currently a practice that does not perform minor surgery procedures</w:t>
      </w:r>
      <w:r w:rsidR="00DD393C" w:rsidRPr="00121637">
        <w:rPr>
          <w:color w:val="auto"/>
        </w:rPr>
        <w:t xml:space="preserve"> on its own patients refer into </w:t>
      </w:r>
      <w:r w:rsidRPr="00121637">
        <w:rPr>
          <w:color w:val="auto"/>
        </w:rPr>
        <w:t xml:space="preserve">secondary care, similarly some GPs only perform a proportion of minor surgery but also refer patients on to secondary care.  </w:t>
      </w:r>
    </w:p>
    <w:p w:rsidR="00B31DC2" w:rsidRPr="00121637" w:rsidRDefault="00B31DC2" w:rsidP="004725C0">
      <w:pPr>
        <w:tabs>
          <w:tab w:val="num" w:pos="540"/>
        </w:tabs>
        <w:ind w:left="540" w:hanging="540"/>
        <w:jc w:val="both"/>
        <w:rPr>
          <w:rFonts w:ascii="Arial" w:hAnsi="Arial" w:cs="Arial"/>
        </w:rPr>
      </w:pPr>
    </w:p>
    <w:p w:rsidR="00B31DC2" w:rsidRPr="00121637" w:rsidRDefault="00B31DC2" w:rsidP="009B4D24">
      <w:pPr>
        <w:rPr>
          <w:rFonts w:ascii="Arial" w:hAnsi="Arial" w:cs="Arial"/>
        </w:rPr>
      </w:pPr>
      <w:r w:rsidRPr="00121637">
        <w:rPr>
          <w:rFonts w:ascii="Arial" w:hAnsi="Arial" w:cs="Arial"/>
        </w:rPr>
        <w:t>A practice may elect not to perform minor surgical procedures on its own patients; this activity could be absorbed by neighbouring practices.</w:t>
      </w:r>
    </w:p>
    <w:p w:rsidR="00B31DC2" w:rsidRPr="002E7E8C" w:rsidRDefault="00B31DC2" w:rsidP="004725C0">
      <w:pPr>
        <w:tabs>
          <w:tab w:val="num" w:pos="540"/>
        </w:tabs>
        <w:ind w:left="540" w:hanging="540"/>
        <w:jc w:val="both"/>
        <w:rPr>
          <w:rFonts w:ascii="Arial" w:hAnsi="Arial" w:cs="Arial"/>
        </w:rPr>
      </w:pPr>
    </w:p>
    <w:p w:rsidR="00B31DC2" w:rsidRPr="002E7E8C" w:rsidRDefault="005C4B5A" w:rsidP="009B4D24">
      <w:pPr>
        <w:rPr>
          <w:rFonts w:ascii="Arial" w:hAnsi="Arial" w:cs="Arial"/>
        </w:rPr>
      </w:pPr>
      <w:r w:rsidRPr="002E7E8C">
        <w:rPr>
          <w:rFonts w:ascii="Arial" w:hAnsi="Arial" w:cs="Arial"/>
        </w:rPr>
        <w:t xml:space="preserve">The purpose of </w:t>
      </w:r>
      <w:r w:rsidR="00F13750" w:rsidRPr="002E7E8C">
        <w:rPr>
          <w:rFonts w:ascii="Arial" w:hAnsi="Arial" w:cs="Arial"/>
        </w:rPr>
        <w:t>this service</w:t>
      </w:r>
      <w:r w:rsidR="00B31DC2" w:rsidRPr="002E7E8C">
        <w:rPr>
          <w:rFonts w:ascii="Arial" w:hAnsi="Arial" w:cs="Arial"/>
        </w:rPr>
        <w:t xml:space="preserve"> is to </w:t>
      </w:r>
      <w:r w:rsidR="00F13750" w:rsidRPr="002E7E8C">
        <w:rPr>
          <w:rFonts w:ascii="Arial" w:hAnsi="Arial" w:cs="Arial"/>
        </w:rPr>
        <w:t>commission</w:t>
      </w:r>
      <w:r w:rsidR="00B31DC2" w:rsidRPr="002E7E8C">
        <w:rPr>
          <w:rFonts w:ascii="Arial" w:hAnsi="Arial" w:cs="Arial"/>
        </w:rPr>
        <w:t xml:space="preserve"> a primary care based </w:t>
      </w:r>
      <w:r w:rsidR="00F13750" w:rsidRPr="002E7E8C">
        <w:rPr>
          <w:rFonts w:ascii="Arial" w:hAnsi="Arial" w:cs="Arial"/>
        </w:rPr>
        <w:t xml:space="preserve">minor surgery </w:t>
      </w:r>
      <w:r w:rsidR="00B31DC2" w:rsidRPr="002E7E8C">
        <w:rPr>
          <w:rFonts w:ascii="Arial" w:hAnsi="Arial" w:cs="Arial"/>
        </w:rPr>
        <w:t xml:space="preserve">service for </w:t>
      </w:r>
      <w:r w:rsidR="00F13750" w:rsidRPr="002E7E8C">
        <w:rPr>
          <w:rFonts w:ascii="Arial" w:hAnsi="Arial" w:cs="Arial"/>
        </w:rPr>
        <w:t xml:space="preserve">patients </w:t>
      </w:r>
      <w:r w:rsidR="009B7B27" w:rsidRPr="002E7E8C">
        <w:rPr>
          <w:rFonts w:ascii="Arial" w:hAnsi="Arial" w:cs="Arial"/>
        </w:rPr>
        <w:t>whose</w:t>
      </w:r>
      <w:r w:rsidR="00F13750" w:rsidRPr="002E7E8C">
        <w:rPr>
          <w:rFonts w:ascii="Arial" w:hAnsi="Arial" w:cs="Arial"/>
        </w:rPr>
        <w:t xml:space="preserve"> GP does not participate in the minor surgery DES. </w:t>
      </w:r>
      <w:r w:rsidR="00B31DC2" w:rsidRPr="002E7E8C">
        <w:rPr>
          <w:rFonts w:ascii="Arial" w:hAnsi="Arial" w:cs="Arial"/>
        </w:rPr>
        <w:t xml:space="preserve">This service is intended to improve both choice and access to patients by offering an alternative to secondary care supporting National and </w:t>
      </w:r>
      <w:r w:rsidR="00DD393C" w:rsidRPr="002E7E8C">
        <w:rPr>
          <w:rFonts w:ascii="Arial" w:hAnsi="Arial" w:cs="Arial"/>
        </w:rPr>
        <w:t>CCG</w:t>
      </w:r>
      <w:r w:rsidR="00B31DC2" w:rsidRPr="002E7E8C">
        <w:rPr>
          <w:rFonts w:ascii="Arial" w:hAnsi="Arial" w:cs="Arial"/>
        </w:rPr>
        <w:t xml:space="preserve"> priorities and ensuring value for money.</w:t>
      </w:r>
    </w:p>
    <w:p w:rsidR="00121637" w:rsidRPr="002E7E8C" w:rsidRDefault="00121637" w:rsidP="00DD393C">
      <w:pPr>
        <w:jc w:val="both"/>
        <w:rPr>
          <w:rFonts w:ascii="Arial" w:hAnsi="Arial" w:cs="Arial"/>
        </w:rPr>
      </w:pPr>
    </w:p>
    <w:p w:rsidR="00121637" w:rsidRPr="002E7E8C" w:rsidRDefault="00121637" w:rsidP="009B4D24">
      <w:pPr>
        <w:autoSpaceDE w:val="0"/>
        <w:autoSpaceDN w:val="0"/>
        <w:adjustRightInd w:val="0"/>
        <w:rPr>
          <w:rFonts w:ascii="Arial" w:hAnsi="Arial" w:cs="Arial"/>
          <w:lang w:val="en-US"/>
        </w:rPr>
      </w:pPr>
      <w:r w:rsidRPr="002E7E8C">
        <w:rPr>
          <w:rFonts w:ascii="Arial" w:hAnsi="Arial" w:cs="Arial"/>
        </w:rPr>
        <w:t xml:space="preserve">Incorporating low risk BCC Minor Surgery </w:t>
      </w:r>
      <w:r w:rsidR="009B7B27" w:rsidRPr="002E7E8C">
        <w:rPr>
          <w:rFonts w:ascii="Arial" w:hAnsi="Arial" w:cs="Arial"/>
        </w:rPr>
        <w:t>into this specification, where</w:t>
      </w:r>
      <w:r w:rsidRPr="002E7E8C">
        <w:rPr>
          <w:rFonts w:ascii="Arial" w:hAnsi="Arial" w:cs="Arial"/>
        </w:rPr>
        <w:t xml:space="preserve"> </w:t>
      </w:r>
      <w:r w:rsidRPr="002E7E8C">
        <w:rPr>
          <w:rFonts w:ascii="Arial" w:hAnsi="Arial" w:cs="Arial"/>
          <w:lang w:val="en-US"/>
        </w:rPr>
        <w:t xml:space="preserve">NICE guidance and the Community Skin measures offer the opportunity to extend the knowledge and skills of primary care services and extend the scope of service patients can access without referral to secondary care. </w:t>
      </w:r>
    </w:p>
    <w:p w:rsidR="00121637" w:rsidRPr="002E7E8C" w:rsidRDefault="00121637" w:rsidP="00121637">
      <w:pPr>
        <w:autoSpaceDE w:val="0"/>
        <w:autoSpaceDN w:val="0"/>
        <w:adjustRightInd w:val="0"/>
        <w:rPr>
          <w:rFonts w:ascii="Arial" w:hAnsi="Arial" w:cs="Arial"/>
          <w:bCs/>
          <w:lang w:val="en-US"/>
        </w:rPr>
      </w:pPr>
    </w:p>
    <w:p w:rsidR="00121637" w:rsidRPr="002E7E8C" w:rsidRDefault="00121637" w:rsidP="00121637">
      <w:pPr>
        <w:autoSpaceDE w:val="0"/>
        <w:autoSpaceDN w:val="0"/>
        <w:adjustRightInd w:val="0"/>
        <w:rPr>
          <w:rFonts w:ascii="Arial" w:hAnsi="Arial" w:cs="Arial"/>
          <w:lang w:val="en-US"/>
        </w:rPr>
      </w:pPr>
      <w:r w:rsidRPr="002E7E8C">
        <w:rPr>
          <w:rFonts w:ascii="Arial" w:hAnsi="Arial" w:cs="Arial"/>
        </w:rPr>
        <w:t xml:space="preserve">The </w:t>
      </w:r>
      <w:r w:rsidRPr="002E7E8C">
        <w:rPr>
          <w:rFonts w:ascii="Arial" w:hAnsi="Arial" w:cs="Arial"/>
          <w:lang w:val="en-US"/>
        </w:rPr>
        <w:t xml:space="preserve">NICE Skin Cancer Guidance update </w:t>
      </w:r>
      <w:r w:rsidRPr="002E7E8C">
        <w:rPr>
          <w:rFonts w:ascii="Arial" w:hAnsi="Arial" w:cs="Arial"/>
          <w:i/>
          <w:iCs/>
          <w:lang w:val="en-US"/>
        </w:rPr>
        <w:t>Improving outcomes for people with skin tumours including melanoma</w:t>
      </w:r>
      <w:r w:rsidRPr="002E7E8C">
        <w:rPr>
          <w:rFonts w:ascii="Arial" w:hAnsi="Arial" w:cs="Arial"/>
          <w:i/>
          <w:lang w:val="en-US"/>
        </w:rPr>
        <w:t xml:space="preserve"> </w:t>
      </w:r>
      <w:r w:rsidRPr="002E7E8C">
        <w:rPr>
          <w:rFonts w:ascii="Arial" w:hAnsi="Arial" w:cs="Arial"/>
          <w:i/>
          <w:iCs/>
          <w:lang w:val="en-US"/>
        </w:rPr>
        <w:t>- The management of low-risk basal cell carcinomas in the community (May</w:t>
      </w:r>
      <w:r w:rsidRPr="002E7E8C">
        <w:rPr>
          <w:rFonts w:ascii="Arial" w:hAnsi="Arial" w:cs="Arial"/>
          <w:i/>
          <w:lang w:val="en-US"/>
        </w:rPr>
        <w:t xml:space="preserve"> </w:t>
      </w:r>
      <w:r w:rsidRPr="002E7E8C">
        <w:rPr>
          <w:rFonts w:ascii="Arial" w:hAnsi="Arial" w:cs="Arial"/>
          <w:i/>
          <w:iCs/>
          <w:lang w:val="en-US"/>
        </w:rPr>
        <w:t>2010)</w:t>
      </w:r>
      <w:r w:rsidRPr="002E7E8C">
        <w:rPr>
          <w:rFonts w:ascii="Arial" w:hAnsi="Arial" w:cs="Arial"/>
          <w:i/>
          <w:lang w:val="en-US"/>
        </w:rPr>
        <w:t xml:space="preserve"> </w:t>
      </w:r>
      <w:r w:rsidRPr="002E7E8C">
        <w:rPr>
          <w:rFonts w:ascii="Arial" w:hAnsi="Arial" w:cs="Arial"/>
          <w:lang w:val="en-US"/>
        </w:rPr>
        <w:t xml:space="preserve">specifically recommended the development of new roles for GP’s and GPwSI for responsibility for skin lesions, skin surgery and community cancer services. </w:t>
      </w:r>
    </w:p>
    <w:p w:rsidR="00121637" w:rsidRPr="002E7E8C" w:rsidRDefault="00121637" w:rsidP="00121637">
      <w:pPr>
        <w:autoSpaceDE w:val="0"/>
        <w:autoSpaceDN w:val="0"/>
        <w:adjustRightInd w:val="0"/>
        <w:rPr>
          <w:rFonts w:ascii="Arial" w:hAnsi="Arial" w:cs="Arial"/>
          <w:lang w:val="en-US"/>
        </w:rPr>
      </w:pPr>
    </w:p>
    <w:p w:rsidR="00121637" w:rsidRPr="002E7E8C" w:rsidRDefault="00121637" w:rsidP="00121637">
      <w:pPr>
        <w:autoSpaceDE w:val="0"/>
        <w:autoSpaceDN w:val="0"/>
        <w:adjustRightInd w:val="0"/>
        <w:rPr>
          <w:rFonts w:ascii="Arial" w:hAnsi="Arial" w:cs="Arial"/>
          <w:lang w:val="en-US"/>
        </w:rPr>
      </w:pPr>
      <w:r w:rsidRPr="002E7E8C">
        <w:rPr>
          <w:rFonts w:ascii="Arial" w:hAnsi="Arial" w:cs="Arial"/>
          <w:lang w:val="en-US"/>
        </w:rPr>
        <w:t xml:space="preserve">The subsequent </w:t>
      </w:r>
      <w:r w:rsidRPr="002E7E8C">
        <w:rPr>
          <w:rFonts w:ascii="Arial" w:hAnsi="Arial" w:cs="Arial"/>
          <w:bCs/>
          <w:lang w:val="en-US"/>
        </w:rPr>
        <w:t xml:space="preserve">revised guidance and competences for the provision of services using GPs with Special Interests (GPwSIs) </w:t>
      </w:r>
      <w:r w:rsidRPr="002E7E8C">
        <w:rPr>
          <w:rFonts w:ascii="Arial" w:hAnsi="Arial" w:cs="Arial"/>
          <w:lang w:val="en-US"/>
        </w:rPr>
        <w:t xml:space="preserve">Dermatology and skin surgery (2010) and the NCAT (2011) Manual for Cancer services – revised Community Skin Measures both describe models of care where accredited GP’s can manage Low level BCC’s under existing </w:t>
      </w:r>
      <w:r w:rsidRPr="002E7E8C">
        <w:rPr>
          <w:rFonts w:ascii="Arial" w:hAnsi="Arial" w:cs="Arial"/>
          <w:lang w:val="en-US"/>
        </w:rPr>
        <w:lastRenderedPageBreak/>
        <w:t>DES/LES arrangements, the evidence and competencies required for accreditation, CPD and other requirements such as histology &amp; record keeping.</w:t>
      </w:r>
    </w:p>
    <w:p w:rsidR="00B31DC2" w:rsidRPr="002E7E8C" w:rsidRDefault="00B31DC2">
      <w:pPr>
        <w:jc w:val="both"/>
        <w:rPr>
          <w:rFonts w:ascii="Arial" w:hAnsi="Arial" w:cs="Arial"/>
        </w:rPr>
      </w:pPr>
    </w:p>
    <w:p w:rsidR="00B31DC2" w:rsidRPr="002E7E8C" w:rsidRDefault="00B31DC2">
      <w:pPr>
        <w:pStyle w:val="Heading3"/>
        <w:jc w:val="both"/>
      </w:pPr>
      <w:r w:rsidRPr="002E7E8C">
        <w:t>Service Outline</w:t>
      </w:r>
    </w:p>
    <w:p w:rsidR="00B31DC2" w:rsidRPr="002E7E8C" w:rsidRDefault="00B31DC2">
      <w:pPr>
        <w:jc w:val="both"/>
        <w:rPr>
          <w:rFonts w:ascii="Arial" w:hAnsi="Arial" w:cs="Arial"/>
        </w:rPr>
      </w:pPr>
    </w:p>
    <w:p w:rsidR="00B31DC2" w:rsidRPr="00167FCC" w:rsidRDefault="00B31DC2" w:rsidP="009B4D24">
      <w:pPr>
        <w:rPr>
          <w:rFonts w:ascii="Arial" w:hAnsi="Arial" w:cs="Arial"/>
        </w:rPr>
      </w:pPr>
      <w:r w:rsidRPr="002E7E8C">
        <w:rPr>
          <w:rFonts w:ascii="Arial" w:hAnsi="Arial" w:cs="Arial"/>
        </w:rPr>
        <w:t>This service is intended to provide within primary care, access to assessment, operative intervention and aftercare for patients with lesions suitable for minor surgery.  (See Flow</w:t>
      </w:r>
      <w:r w:rsidRPr="00167FCC">
        <w:rPr>
          <w:rFonts w:ascii="Arial" w:hAnsi="Arial" w:cs="Arial"/>
        </w:rPr>
        <w:t xml:space="preserve"> chart)</w:t>
      </w:r>
      <w:r w:rsidR="00F13750">
        <w:rPr>
          <w:rFonts w:ascii="Arial" w:hAnsi="Arial" w:cs="Arial"/>
        </w:rPr>
        <w:t xml:space="preserve"> Procedures should be undertaken in line with </w:t>
      </w:r>
      <w:smartTag w:uri="urn:schemas-microsoft-com:office:smarttags" w:element="country-region">
        <w:r w:rsidR="00F13750">
          <w:rPr>
            <w:rFonts w:ascii="Arial" w:hAnsi="Arial" w:cs="Arial"/>
          </w:rPr>
          <w:t>Doncaster</w:t>
        </w:r>
      </w:smartTag>
      <w:r w:rsidR="00F13750">
        <w:rPr>
          <w:rFonts w:ascii="Arial" w:hAnsi="Arial" w:cs="Arial"/>
        </w:rPr>
        <w:t xml:space="preserve"> commissioning policies.</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This service would continue to adhere to current core standards, best practice and clinical governance stipulated in the GMS &amp; PMS contracts and the minor surgery DES specification.</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 xml:space="preserve">The service provider must hold a contract for provision of the DES for minor surgery with </w:t>
      </w:r>
      <w:r w:rsidR="00DD393C" w:rsidRPr="00167FCC">
        <w:rPr>
          <w:rFonts w:ascii="Arial" w:hAnsi="Arial" w:cs="Arial"/>
        </w:rPr>
        <w:t>NHS England.</w:t>
      </w:r>
      <w:r w:rsidRPr="00167FCC">
        <w:rPr>
          <w:rFonts w:ascii="Arial" w:hAnsi="Arial" w:cs="Arial"/>
        </w:rPr>
        <w:t xml:space="preserve"> </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The service provider must not refer their own patients, with lesions suitable for provision under this service, to other practices or secondary care for minor surgery procedures to be carried out.</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The service provider must be able to demonstrate its ability to deliver the activity agreed and show that this will not be to the detriment to the Essential or Additional Services or Minor Surgery DES provided to their registered population.</w:t>
      </w:r>
    </w:p>
    <w:p w:rsidR="00B31DC2" w:rsidRPr="00167FCC" w:rsidRDefault="00DD393C" w:rsidP="009B4D24">
      <w:pPr>
        <w:rPr>
          <w:rFonts w:ascii="Arial" w:hAnsi="Arial" w:cs="Arial"/>
        </w:rPr>
      </w:pPr>
      <w:r w:rsidRPr="00167FCC">
        <w:rPr>
          <w:rFonts w:ascii="Arial" w:hAnsi="Arial" w:cs="Arial"/>
        </w:rPr>
        <w:t>T</w:t>
      </w:r>
      <w:r w:rsidR="00B31DC2" w:rsidRPr="00167FCC">
        <w:rPr>
          <w:rFonts w:ascii="Arial" w:hAnsi="Arial" w:cs="Arial"/>
        </w:rPr>
        <w:t xml:space="preserve">he service provider must fully comply with the terms of the Minor Surgery DES and demonstrate appropriate training and experience, have premises which fully meet the required standards for treatment rooms as specified by </w:t>
      </w:r>
      <w:r w:rsidRPr="00167FCC">
        <w:rPr>
          <w:rFonts w:ascii="Arial" w:hAnsi="Arial" w:cs="Arial"/>
        </w:rPr>
        <w:t>NHS England</w:t>
      </w:r>
      <w:r w:rsidR="00B31DC2" w:rsidRPr="00167FCC">
        <w:rPr>
          <w:rFonts w:ascii="Arial" w:hAnsi="Arial" w:cs="Arial"/>
        </w:rPr>
        <w:t>.</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 xml:space="preserve">The service provider must provide equipment and work to Infection control policies that fully meet the requirements of the </w:t>
      </w:r>
      <w:r w:rsidR="00DD393C" w:rsidRPr="00167FCC">
        <w:rPr>
          <w:rFonts w:ascii="Arial" w:hAnsi="Arial" w:cs="Arial"/>
        </w:rPr>
        <w:t>CCG</w:t>
      </w:r>
      <w:r w:rsidRPr="00167FCC">
        <w:rPr>
          <w:rFonts w:ascii="Arial" w:hAnsi="Arial" w:cs="Arial"/>
        </w:rPr>
        <w:t xml:space="preserve"> and comply with the national decontamination regulations and the </w:t>
      </w:r>
      <w:r w:rsidR="00DD393C" w:rsidRPr="00167FCC">
        <w:rPr>
          <w:rFonts w:ascii="Arial" w:hAnsi="Arial" w:cs="Arial"/>
        </w:rPr>
        <w:t xml:space="preserve">national </w:t>
      </w:r>
      <w:r w:rsidRPr="00167FCC">
        <w:rPr>
          <w:rFonts w:ascii="Arial" w:hAnsi="Arial" w:cs="Arial"/>
        </w:rPr>
        <w:t>decontamination strategy.</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Patients will be offered an appointment with a service provider who will carry out the initial assessment to establish each referral is clinically appropriate before the procedure is performed.</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The patient will not have to wait longer than 8 weeks from referral to the performance of the procedure including the waiting time for assessment.</w:t>
      </w:r>
    </w:p>
    <w:p w:rsidR="00B31DC2" w:rsidRPr="00167FCC" w:rsidRDefault="00B31DC2" w:rsidP="004725C0">
      <w:pPr>
        <w:tabs>
          <w:tab w:val="num" w:pos="540"/>
        </w:tabs>
        <w:ind w:left="540" w:hanging="540"/>
        <w:jc w:val="both"/>
        <w:rPr>
          <w:rFonts w:ascii="Arial" w:hAnsi="Arial" w:cs="Arial"/>
          <w:b/>
          <w:bCs/>
        </w:rPr>
      </w:pPr>
    </w:p>
    <w:p w:rsidR="00B31DC2" w:rsidRPr="00167FCC" w:rsidRDefault="00B31DC2" w:rsidP="009B4D24">
      <w:pPr>
        <w:rPr>
          <w:rFonts w:ascii="Arial" w:hAnsi="Arial" w:cs="Arial"/>
        </w:rPr>
      </w:pPr>
      <w:r w:rsidRPr="00167FCC">
        <w:rPr>
          <w:rFonts w:ascii="Arial" w:hAnsi="Arial" w:cs="Arial"/>
        </w:rPr>
        <w:t>The patient will attend the referring practice for any aftercare such as removal of sutures and dressings, unless suitable arrangements have been made with the practice providing this service.</w:t>
      </w:r>
    </w:p>
    <w:p w:rsidR="00B31DC2" w:rsidRPr="00167FCC" w:rsidRDefault="00B31DC2" w:rsidP="004725C0">
      <w:pPr>
        <w:tabs>
          <w:tab w:val="num" w:pos="540"/>
        </w:tabs>
        <w:ind w:left="540" w:hanging="540"/>
        <w:jc w:val="both"/>
        <w:rPr>
          <w:rFonts w:ascii="Arial" w:hAnsi="Arial" w:cs="Arial"/>
        </w:rPr>
      </w:pPr>
    </w:p>
    <w:p w:rsidR="00B31DC2" w:rsidRPr="00167FCC" w:rsidRDefault="00DD393C" w:rsidP="009B4D24">
      <w:pPr>
        <w:rPr>
          <w:rFonts w:ascii="Arial" w:hAnsi="Arial" w:cs="Arial"/>
        </w:rPr>
      </w:pPr>
      <w:r w:rsidRPr="00167FCC">
        <w:rPr>
          <w:rFonts w:ascii="Arial" w:hAnsi="Arial" w:cs="Arial"/>
        </w:rPr>
        <w:t>The CCG in agreeing to this service is</w:t>
      </w:r>
      <w:r w:rsidR="00B31DC2" w:rsidRPr="00167FCC">
        <w:rPr>
          <w:rFonts w:ascii="Arial" w:hAnsi="Arial" w:cs="Arial"/>
        </w:rPr>
        <w:t xml:space="preserve"> no way commit themselves to the capital expenditure or revenue consequences of the equipment necessary for particular procedures other than those specifically covered by this </w:t>
      </w:r>
      <w:r w:rsidRPr="00167FCC">
        <w:rPr>
          <w:rFonts w:ascii="Arial" w:hAnsi="Arial" w:cs="Arial"/>
        </w:rPr>
        <w:t>service.</w:t>
      </w:r>
    </w:p>
    <w:p w:rsidR="00B31DC2" w:rsidRPr="00167FCC" w:rsidRDefault="00B31DC2" w:rsidP="00F13750">
      <w:pPr>
        <w:tabs>
          <w:tab w:val="num" w:pos="540"/>
        </w:tabs>
        <w:jc w:val="both"/>
        <w:rPr>
          <w:rFonts w:ascii="Arial" w:hAnsi="Arial" w:cs="Arial"/>
        </w:rPr>
      </w:pPr>
    </w:p>
    <w:p w:rsidR="00B31DC2" w:rsidRPr="00167FCC" w:rsidRDefault="00B31DC2" w:rsidP="009B4D24">
      <w:pPr>
        <w:rPr>
          <w:rFonts w:ascii="Arial" w:hAnsi="Arial" w:cs="Arial"/>
        </w:rPr>
      </w:pPr>
      <w:r w:rsidRPr="00167FCC">
        <w:rPr>
          <w:rFonts w:ascii="Arial" w:hAnsi="Arial" w:cs="Arial"/>
        </w:rPr>
        <w:t>Referrals must include as a minimum details of the referring GP, patients name, DoB, NHS number, contact details and an outline of the problem requiring treatment. The form (Appendix B) should be used for referral and as a clinical record.</w:t>
      </w:r>
    </w:p>
    <w:p w:rsidR="00B31DC2" w:rsidRPr="00167FCC" w:rsidRDefault="00B31DC2" w:rsidP="004725C0">
      <w:pPr>
        <w:tabs>
          <w:tab w:val="num" w:pos="540"/>
        </w:tabs>
        <w:ind w:left="540" w:hanging="540"/>
        <w:jc w:val="both"/>
        <w:rPr>
          <w:rFonts w:ascii="Arial" w:hAnsi="Arial" w:cs="Arial"/>
        </w:rPr>
      </w:pPr>
    </w:p>
    <w:p w:rsidR="00B31DC2" w:rsidRPr="005867F3" w:rsidRDefault="00B31DC2" w:rsidP="009B4D24">
      <w:pPr>
        <w:rPr>
          <w:rFonts w:ascii="Arial" w:hAnsi="Arial" w:cs="Arial"/>
        </w:rPr>
      </w:pPr>
      <w:r w:rsidRPr="005867F3">
        <w:rPr>
          <w:rFonts w:ascii="Arial" w:hAnsi="Arial" w:cs="Arial"/>
        </w:rPr>
        <w:t>The service provider must supply the referring practice with details of the assessment and procedure performed within 1 week of the completion of the treatment.</w:t>
      </w:r>
    </w:p>
    <w:p w:rsidR="00B31DC2" w:rsidRPr="005867F3" w:rsidRDefault="00B31DC2" w:rsidP="004725C0">
      <w:pPr>
        <w:tabs>
          <w:tab w:val="num" w:pos="540"/>
        </w:tabs>
        <w:ind w:left="540" w:hanging="540"/>
        <w:jc w:val="both"/>
        <w:rPr>
          <w:rFonts w:ascii="Arial" w:hAnsi="Arial" w:cs="Arial"/>
          <w:b/>
          <w:bCs/>
        </w:rPr>
      </w:pPr>
    </w:p>
    <w:p w:rsidR="00B31DC2" w:rsidRPr="002E7E8C" w:rsidRDefault="00B31DC2" w:rsidP="009B4D24">
      <w:pPr>
        <w:rPr>
          <w:rFonts w:ascii="Arial" w:hAnsi="Arial" w:cs="Arial"/>
        </w:rPr>
      </w:pPr>
      <w:r w:rsidRPr="005867F3">
        <w:rPr>
          <w:rFonts w:ascii="Arial" w:hAnsi="Arial" w:cs="Arial"/>
        </w:rPr>
        <w:t xml:space="preserve">The service provider will refer patients back to their registered practice if any procedures are </w:t>
      </w:r>
      <w:r w:rsidRPr="002E7E8C">
        <w:rPr>
          <w:rFonts w:ascii="Arial" w:hAnsi="Arial" w:cs="Arial"/>
        </w:rPr>
        <w:t>required to be performed in secondary care.</w:t>
      </w:r>
    </w:p>
    <w:p w:rsidR="00121637" w:rsidRPr="002E7E8C" w:rsidRDefault="00121637" w:rsidP="00DD393C">
      <w:pPr>
        <w:jc w:val="both"/>
        <w:rPr>
          <w:rFonts w:ascii="Arial" w:hAnsi="Arial" w:cs="Arial"/>
        </w:rPr>
      </w:pPr>
    </w:p>
    <w:p w:rsidR="005867F3" w:rsidRPr="002E7E8C" w:rsidRDefault="009B7B27" w:rsidP="009B4D24">
      <w:pPr>
        <w:pStyle w:val="ListParagraph"/>
        <w:spacing w:after="0" w:line="240" w:lineRule="auto"/>
        <w:ind w:left="0"/>
        <w:rPr>
          <w:rFonts w:ascii="Arial" w:eastAsia="Times New Roman" w:hAnsi="Arial" w:cs="Arial"/>
          <w:sz w:val="24"/>
          <w:szCs w:val="24"/>
        </w:rPr>
      </w:pPr>
      <w:r w:rsidRPr="002E7E8C">
        <w:rPr>
          <w:rFonts w:ascii="Arial" w:hAnsi="Arial" w:cs="Arial"/>
          <w:sz w:val="24"/>
          <w:szCs w:val="24"/>
        </w:rPr>
        <w:t>The low risk</w:t>
      </w:r>
      <w:r w:rsidR="00121637" w:rsidRPr="002E7E8C">
        <w:rPr>
          <w:rFonts w:ascii="Arial" w:hAnsi="Arial" w:cs="Arial"/>
          <w:sz w:val="24"/>
          <w:szCs w:val="24"/>
        </w:rPr>
        <w:t xml:space="preserve"> BCC minor surgery </w:t>
      </w:r>
      <w:r w:rsidR="005867F3" w:rsidRPr="002E7E8C">
        <w:rPr>
          <w:rFonts w:ascii="Arial" w:eastAsia="Times New Roman" w:hAnsi="Arial" w:cs="Arial"/>
          <w:sz w:val="24"/>
          <w:szCs w:val="24"/>
        </w:rPr>
        <w:t xml:space="preserve">will be delivered in line with the pathway in Appendix 1. Practices across Doncaster will refer to accredited GP’s with a suspected low level BCC in line with </w:t>
      </w:r>
      <w:r w:rsidR="005867F3" w:rsidRPr="002E7E8C">
        <w:rPr>
          <w:rFonts w:ascii="Arial" w:hAnsi="Arial" w:cs="Arial"/>
          <w:bCs/>
          <w:sz w:val="24"/>
          <w:szCs w:val="24"/>
          <w:lang w:val="en-US"/>
        </w:rPr>
        <w:t xml:space="preserve">the list of clinically defined BCCs suitable for excision (or according to clinical judgment, curettage) by practitioners under the DES/LES service model: </w:t>
      </w:r>
    </w:p>
    <w:p w:rsidR="005867F3" w:rsidRPr="002E7E8C" w:rsidRDefault="005867F3" w:rsidP="005867F3">
      <w:pPr>
        <w:autoSpaceDE w:val="0"/>
        <w:autoSpaceDN w:val="0"/>
        <w:adjustRightInd w:val="0"/>
        <w:rPr>
          <w:rFonts w:ascii="Arial" w:hAnsi="Arial" w:cs="Arial"/>
          <w:bCs/>
          <w:lang w:val="en-US"/>
        </w:rPr>
      </w:pPr>
    </w:p>
    <w:p w:rsidR="005867F3" w:rsidRPr="002E7E8C" w:rsidRDefault="005867F3" w:rsidP="009B7B27">
      <w:pPr>
        <w:numPr>
          <w:ilvl w:val="0"/>
          <w:numId w:val="39"/>
        </w:numPr>
        <w:autoSpaceDE w:val="0"/>
        <w:autoSpaceDN w:val="0"/>
        <w:adjustRightInd w:val="0"/>
        <w:rPr>
          <w:rFonts w:ascii="Arial" w:hAnsi="Arial" w:cs="Arial"/>
          <w:lang w:val="en-US"/>
        </w:rPr>
      </w:pPr>
      <w:r w:rsidRPr="002E7E8C">
        <w:rPr>
          <w:rFonts w:ascii="Arial" w:hAnsi="Arial" w:cs="Arial"/>
          <w:b/>
          <w:bCs/>
          <w:lang w:val="en-US"/>
        </w:rPr>
        <w:t>Patients</w:t>
      </w:r>
      <w:r w:rsidRPr="002E7E8C">
        <w:rPr>
          <w:rFonts w:ascii="Arial" w:hAnsi="Arial" w:cs="Arial"/>
          <w:bCs/>
          <w:lang w:val="en-US"/>
        </w:rPr>
        <w:t xml:space="preserve">: </w:t>
      </w:r>
      <w:r w:rsidRPr="002E7E8C">
        <w:rPr>
          <w:rFonts w:ascii="Arial" w:hAnsi="Arial" w:cs="Arial"/>
          <w:lang w:val="en-US"/>
        </w:rPr>
        <w:t>Adult, 25 and over, with normal immunity and without any genetic predisposition to BCCs.</w:t>
      </w:r>
      <w:r w:rsidRPr="002E7E8C">
        <w:rPr>
          <w:rFonts w:ascii="Arial" w:hAnsi="Arial" w:cs="Arial"/>
          <w:b/>
          <w:lang w:val="en-US"/>
        </w:rPr>
        <w:t xml:space="preserve"> </w:t>
      </w:r>
      <w:r w:rsidRPr="002E7E8C">
        <w:rPr>
          <w:rFonts w:ascii="Arial" w:hAnsi="Arial" w:cs="Arial"/>
          <w:i/>
          <w:iCs/>
          <w:lang w:val="en-US"/>
        </w:rPr>
        <w:t>Patients with immunosupression (including transplant patients) or Gorlin’s syndrome will be referred on.</w:t>
      </w:r>
    </w:p>
    <w:p w:rsidR="005867F3" w:rsidRPr="002E7E8C" w:rsidRDefault="005867F3" w:rsidP="005867F3">
      <w:pPr>
        <w:autoSpaceDE w:val="0"/>
        <w:autoSpaceDN w:val="0"/>
        <w:adjustRightInd w:val="0"/>
        <w:ind w:left="432"/>
        <w:rPr>
          <w:rFonts w:ascii="Arial" w:hAnsi="Arial" w:cs="Arial"/>
          <w:lang w:val="en-US"/>
        </w:rPr>
      </w:pPr>
    </w:p>
    <w:p w:rsidR="005867F3" w:rsidRPr="002E7E8C" w:rsidRDefault="005867F3" w:rsidP="009B7B27">
      <w:pPr>
        <w:numPr>
          <w:ilvl w:val="0"/>
          <w:numId w:val="39"/>
        </w:numPr>
        <w:autoSpaceDE w:val="0"/>
        <w:autoSpaceDN w:val="0"/>
        <w:adjustRightInd w:val="0"/>
        <w:rPr>
          <w:rFonts w:ascii="Arial" w:hAnsi="Arial" w:cs="Arial"/>
          <w:i/>
          <w:lang w:val="en-US"/>
        </w:rPr>
      </w:pPr>
      <w:r w:rsidRPr="002E7E8C">
        <w:rPr>
          <w:rFonts w:ascii="Arial" w:hAnsi="Arial" w:cs="Arial"/>
          <w:b/>
          <w:bCs/>
          <w:lang w:val="en-US"/>
        </w:rPr>
        <w:t>Lesion</w:t>
      </w:r>
      <w:r w:rsidRPr="002E7E8C">
        <w:rPr>
          <w:rFonts w:ascii="Arial" w:hAnsi="Arial" w:cs="Arial"/>
          <w:bCs/>
          <w:lang w:val="en-US"/>
        </w:rPr>
        <w:t xml:space="preserve">: </w:t>
      </w:r>
      <w:r w:rsidRPr="002E7E8C">
        <w:rPr>
          <w:rFonts w:ascii="Arial" w:hAnsi="Arial" w:cs="Arial"/>
          <w:lang w:val="en-US"/>
        </w:rPr>
        <w:t xml:space="preserve">Newly presenting </w:t>
      </w:r>
      <w:r w:rsidRPr="002E7E8C">
        <w:rPr>
          <w:rFonts w:ascii="Arial" w:hAnsi="Arial" w:cs="Arial"/>
          <w:i/>
          <w:lang w:val="en-US"/>
        </w:rPr>
        <w:t>(</w:t>
      </w:r>
      <w:r w:rsidRPr="002E7E8C">
        <w:rPr>
          <w:rFonts w:ascii="Arial" w:hAnsi="Arial" w:cs="Arial"/>
          <w:i/>
          <w:iCs/>
          <w:lang w:val="en-US"/>
        </w:rPr>
        <w:t>patients with BCCs recurrent after previous excision and BCCs persistent (i.e. having histologically positive resection margins) after excision – will be referred on).</w:t>
      </w:r>
      <w:r w:rsidRPr="002E7E8C">
        <w:rPr>
          <w:rFonts w:ascii="Arial" w:hAnsi="Arial" w:cs="Arial"/>
          <w:iCs/>
          <w:lang w:val="en-US"/>
        </w:rPr>
        <w:t xml:space="preserve"> </w:t>
      </w:r>
      <w:r w:rsidRPr="002E7E8C">
        <w:rPr>
          <w:rFonts w:ascii="Arial" w:hAnsi="Arial" w:cs="Arial"/>
          <w:lang w:val="en-US"/>
        </w:rPr>
        <w:t xml:space="preserve"> nodular, definitely, clearly delineated BCC </w:t>
      </w:r>
      <w:r w:rsidRPr="002E7E8C">
        <w:rPr>
          <w:rFonts w:ascii="Arial" w:hAnsi="Arial" w:cs="Arial"/>
          <w:i/>
          <w:lang w:val="en-US"/>
        </w:rPr>
        <w:t>(</w:t>
      </w:r>
      <w:r w:rsidRPr="002E7E8C">
        <w:rPr>
          <w:rFonts w:ascii="Arial" w:hAnsi="Arial" w:cs="Arial"/>
          <w:i/>
          <w:iCs/>
          <w:lang w:val="en-US"/>
        </w:rPr>
        <w:t>BCCs of other morphological appearances will continue to be referred on),</w:t>
      </w:r>
      <w:r w:rsidRPr="002E7E8C">
        <w:rPr>
          <w:rFonts w:ascii="Arial" w:hAnsi="Arial" w:cs="Arial"/>
          <w:lang w:val="en-US"/>
        </w:rPr>
        <w:t xml:space="preserve"> up to 1 cm. </w:t>
      </w:r>
    </w:p>
    <w:p w:rsidR="005867F3" w:rsidRPr="002E7E8C" w:rsidRDefault="005867F3" w:rsidP="005867F3">
      <w:pPr>
        <w:autoSpaceDE w:val="0"/>
        <w:autoSpaceDN w:val="0"/>
        <w:adjustRightInd w:val="0"/>
        <w:ind w:left="432"/>
        <w:rPr>
          <w:rFonts w:ascii="Arial" w:hAnsi="Arial" w:cs="Arial"/>
          <w:b/>
          <w:bCs/>
          <w:lang w:val="en-US"/>
        </w:rPr>
      </w:pPr>
    </w:p>
    <w:p w:rsidR="00121637" w:rsidRPr="002E7E8C" w:rsidRDefault="005867F3" w:rsidP="009B7B27">
      <w:pPr>
        <w:numPr>
          <w:ilvl w:val="0"/>
          <w:numId w:val="39"/>
        </w:numPr>
        <w:autoSpaceDE w:val="0"/>
        <w:autoSpaceDN w:val="0"/>
        <w:adjustRightInd w:val="0"/>
        <w:rPr>
          <w:rFonts w:ascii="Arial" w:hAnsi="Arial" w:cs="Arial"/>
          <w:i/>
          <w:lang w:val="en-US"/>
        </w:rPr>
      </w:pPr>
      <w:r w:rsidRPr="002E7E8C">
        <w:rPr>
          <w:rFonts w:ascii="Arial" w:hAnsi="Arial" w:cs="Arial"/>
          <w:b/>
          <w:bCs/>
          <w:lang w:val="en-US"/>
        </w:rPr>
        <w:t>Site</w:t>
      </w:r>
      <w:r w:rsidRPr="002E7E8C">
        <w:rPr>
          <w:rFonts w:ascii="Arial" w:hAnsi="Arial" w:cs="Arial"/>
          <w:bCs/>
          <w:lang w:val="en-US"/>
        </w:rPr>
        <w:t xml:space="preserve">: </w:t>
      </w:r>
      <w:r w:rsidRPr="002E7E8C">
        <w:rPr>
          <w:rFonts w:ascii="Arial" w:hAnsi="Arial" w:cs="Arial"/>
          <w:lang w:val="en-US"/>
        </w:rPr>
        <w:t xml:space="preserve">Below the clavicle but only in cosmetically and surgically straightforward areas. </w:t>
      </w:r>
      <w:r w:rsidRPr="002E7E8C">
        <w:rPr>
          <w:rFonts w:ascii="Arial" w:hAnsi="Arial" w:cs="Arial"/>
          <w:i/>
          <w:lang w:val="en-US"/>
        </w:rPr>
        <w:t>(</w:t>
      </w:r>
      <w:r w:rsidRPr="002E7E8C">
        <w:rPr>
          <w:rFonts w:ascii="Arial" w:hAnsi="Arial" w:cs="Arial"/>
          <w:i/>
          <w:iCs/>
          <w:lang w:val="en-US"/>
        </w:rPr>
        <w:t>Patients with BCCs which are sited such that excision poses a potential risk to important underlying structures, areas where difficult excision may lead to a poor cosmetic result and areas where primary closure may be difficult will be referred on).</w:t>
      </w:r>
    </w:p>
    <w:p w:rsidR="00B31DC2" w:rsidRPr="002E7E8C" w:rsidRDefault="00B31DC2">
      <w:pPr>
        <w:jc w:val="both"/>
        <w:rPr>
          <w:rFonts w:ascii="Arial" w:hAnsi="Arial" w:cs="Arial"/>
        </w:rPr>
      </w:pPr>
    </w:p>
    <w:p w:rsidR="00B31DC2" w:rsidRPr="00167FCC" w:rsidRDefault="00B31DC2">
      <w:pPr>
        <w:pStyle w:val="Heading3"/>
        <w:jc w:val="both"/>
      </w:pPr>
      <w:r w:rsidRPr="00167FCC">
        <w:t>Accreditation</w:t>
      </w:r>
    </w:p>
    <w:p w:rsidR="00B31DC2" w:rsidRPr="00167FCC" w:rsidRDefault="00B31DC2">
      <w:pPr>
        <w:jc w:val="both"/>
        <w:rPr>
          <w:rFonts w:ascii="Arial" w:hAnsi="Arial" w:cs="Arial"/>
        </w:rPr>
      </w:pPr>
    </w:p>
    <w:p w:rsidR="00B31DC2" w:rsidRPr="00167FCC" w:rsidRDefault="00B31DC2" w:rsidP="009B4D24">
      <w:pPr>
        <w:rPr>
          <w:rFonts w:ascii="Arial" w:hAnsi="Arial" w:cs="Arial"/>
        </w:rPr>
      </w:pPr>
      <w:r w:rsidRPr="00167FCC">
        <w:rPr>
          <w:rFonts w:ascii="Arial" w:hAnsi="Arial" w:cs="Arial"/>
        </w:rPr>
        <w:t>Cl</w:t>
      </w:r>
      <w:r w:rsidR="00DD393C" w:rsidRPr="00167FCC">
        <w:rPr>
          <w:rFonts w:ascii="Arial" w:hAnsi="Arial" w:cs="Arial"/>
        </w:rPr>
        <w:t>inicians taking part in this service</w:t>
      </w:r>
      <w:r w:rsidRPr="00167FCC">
        <w:rPr>
          <w:rFonts w:ascii="Arial" w:hAnsi="Arial" w:cs="Arial"/>
        </w:rPr>
        <w:t xml:space="preserve"> will have the necessary skills and experience to carry out the procedures in line with the principles of the generic GP with Special Interests (GPwSI) guidance.  </w:t>
      </w:r>
    </w:p>
    <w:p w:rsidR="00B31DC2" w:rsidRPr="00167FCC" w:rsidRDefault="00B31DC2" w:rsidP="004725C0">
      <w:pPr>
        <w:tabs>
          <w:tab w:val="num" w:pos="540"/>
        </w:tabs>
        <w:ind w:left="540" w:hanging="540"/>
        <w:jc w:val="both"/>
        <w:rPr>
          <w:rFonts w:ascii="Arial" w:hAnsi="Arial" w:cs="Arial"/>
        </w:rPr>
      </w:pPr>
    </w:p>
    <w:p w:rsidR="00B31DC2" w:rsidRPr="00167FCC" w:rsidRDefault="00B31DC2" w:rsidP="009B4D24">
      <w:pPr>
        <w:rPr>
          <w:rFonts w:ascii="Arial" w:hAnsi="Arial" w:cs="Arial"/>
        </w:rPr>
      </w:pPr>
      <w:r w:rsidRPr="00167FCC">
        <w:rPr>
          <w:rFonts w:ascii="Arial" w:hAnsi="Arial" w:cs="Arial"/>
        </w:rPr>
        <w:t>Clinicians will be competent in resuscitation and have responsibility for ensuring that skills are regularly updated.  Doctors carrying out minor surgery should demonstrate a continuing sustained level of activity (min 12 per annum), conduct regular audits, be appraised on what they do and take part in necessary supportive educational activities.</w:t>
      </w:r>
    </w:p>
    <w:p w:rsidR="00B31DC2" w:rsidRPr="002E7E8C" w:rsidRDefault="00B31DC2" w:rsidP="004725C0">
      <w:pPr>
        <w:tabs>
          <w:tab w:val="num" w:pos="540"/>
        </w:tabs>
        <w:ind w:left="540" w:hanging="540"/>
        <w:jc w:val="both"/>
        <w:rPr>
          <w:rFonts w:ascii="Arial" w:hAnsi="Arial" w:cs="Arial"/>
        </w:rPr>
      </w:pPr>
    </w:p>
    <w:p w:rsidR="00B31DC2" w:rsidRPr="002E7E8C" w:rsidRDefault="00B31DC2" w:rsidP="009B4D24">
      <w:pPr>
        <w:rPr>
          <w:rFonts w:ascii="Arial" w:hAnsi="Arial" w:cs="Arial"/>
        </w:rPr>
      </w:pPr>
      <w:r w:rsidRPr="002E7E8C">
        <w:rPr>
          <w:rFonts w:ascii="Arial" w:hAnsi="Arial" w:cs="Arial"/>
        </w:rPr>
        <w:t>In each case the patient should be fully informed of the treatment options and the treatment proposed.  The patient should give written consent for the procedure to be carried out and the consent form filed by the provider with the ‘referral and clinical record’.</w:t>
      </w:r>
    </w:p>
    <w:p w:rsidR="005867F3" w:rsidRPr="002E7E8C" w:rsidRDefault="005867F3" w:rsidP="00DD393C">
      <w:pPr>
        <w:jc w:val="both"/>
        <w:rPr>
          <w:rFonts w:ascii="Arial" w:hAnsi="Arial" w:cs="Arial"/>
        </w:rPr>
      </w:pPr>
    </w:p>
    <w:p w:rsidR="005867F3" w:rsidRPr="002E7E8C" w:rsidRDefault="005867F3" w:rsidP="005867F3">
      <w:pPr>
        <w:pStyle w:val="NormalWeb"/>
        <w:rPr>
          <w:rFonts w:ascii="Arial" w:hAnsi="Arial" w:cs="Arial"/>
        </w:rPr>
      </w:pPr>
      <w:r w:rsidRPr="002E7E8C">
        <w:rPr>
          <w:rFonts w:ascii="Arial" w:hAnsi="Arial" w:cs="Arial"/>
        </w:rPr>
        <w:t>This is split down fur</w:t>
      </w:r>
      <w:r w:rsidR="004B05C9" w:rsidRPr="002E7E8C">
        <w:rPr>
          <w:rFonts w:ascii="Arial" w:hAnsi="Arial" w:cs="Arial"/>
        </w:rPr>
        <w:t>ther for low risk</w:t>
      </w:r>
      <w:r w:rsidRPr="002E7E8C">
        <w:rPr>
          <w:rFonts w:ascii="Arial" w:hAnsi="Arial" w:cs="Arial"/>
        </w:rPr>
        <w:t xml:space="preserve"> BCC minor surgery where the RCGP/DOH guidance is that a GP should undertake '50 excisions' (not all have to be BCC</w:t>
      </w:r>
      <w:r w:rsidR="00004284" w:rsidRPr="002E7E8C">
        <w:rPr>
          <w:rFonts w:ascii="Arial" w:hAnsi="Arial" w:cs="Arial"/>
        </w:rPr>
        <w:t xml:space="preserve">) a year to remain competent and </w:t>
      </w:r>
      <w:r w:rsidRPr="002E7E8C">
        <w:rPr>
          <w:rFonts w:ascii="Arial" w:hAnsi="Arial" w:cs="Arial"/>
        </w:rPr>
        <w:t>had a skills assessment undertaken to prove</w:t>
      </w:r>
      <w:r w:rsidR="00004284" w:rsidRPr="002E7E8C">
        <w:rPr>
          <w:rFonts w:ascii="Arial" w:hAnsi="Arial" w:cs="Arial"/>
        </w:rPr>
        <w:t xml:space="preserve"> (see below)</w:t>
      </w:r>
      <w:r w:rsidR="006E603F" w:rsidRPr="002E7E8C">
        <w:rPr>
          <w:rFonts w:ascii="Arial" w:hAnsi="Arial" w:cs="Arial"/>
        </w:rPr>
        <w:t xml:space="preserve"> </w:t>
      </w:r>
      <w:r w:rsidRPr="002E7E8C">
        <w:rPr>
          <w:rFonts w:ascii="Arial" w:hAnsi="Arial" w:cs="Arial"/>
        </w:rPr>
        <w:t xml:space="preserve">competency. </w:t>
      </w:r>
      <w:r w:rsidR="009B7B27" w:rsidRPr="002E7E8C">
        <w:rPr>
          <w:rFonts w:ascii="Arial" w:hAnsi="Arial" w:cs="Arial"/>
        </w:rPr>
        <w:t>This can be provided across services that the clinician delivers for NHSE, DMBC and CGG</w:t>
      </w:r>
    </w:p>
    <w:p w:rsidR="009B7B27" w:rsidRPr="004B05C9" w:rsidRDefault="009B7B27" w:rsidP="005867F3">
      <w:pPr>
        <w:pStyle w:val="NormalWeb"/>
        <w:rPr>
          <w:rFonts w:ascii="Arial" w:hAnsi="Arial" w:cs="Arial"/>
          <w:color w:val="FF0000"/>
        </w:rPr>
      </w:pPr>
    </w:p>
    <w:p w:rsidR="005867F3" w:rsidRPr="002E7E8C" w:rsidRDefault="005867F3" w:rsidP="005867F3">
      <w:pPr>
        <w:pStyle w:val="NormalWeb"/>
        <w:rPr>
          <w:rFonts w:ascii="Arial" w:hAnsi="Arial" w:cs="Arial"/>
          <w:lang w:val="en-US"/>
        </w:rPr>
      </w:pPr>
      <w:r w:rsidRPr="002E7E8C">
        <w:rPr>
          <w:rFonts w:ascii="Arial" w:hAnsi="Arial" w:cs="Arial"/>
        </w:rPr>
        <w:t xml:space="preserve">The specific requirement is to </w:t>
      </w:r>
      <w:r w:rsidRPr="002E7E8C">
        <w:rPr>
          <w:rFonts w:ascii="Arial" w:hAnsi="Arial" w:cs="Arial"/>
          <w:lang w:val="en-US"/>
        </w:rPr>
        <w:t>demonstrate competency in performing local anaesthesia, punch biopsy, shave excision, curettage and elliptical excision using the direct observation of procedural skills (DOPS) assessment tool in the Department Health Guidance for GPwSIs in dermatology and skin surgery (link below).</w:t>
      </w:r>
    </w:p>
    <w:p w:rsidR="005867F3" w:rsidRPr="002E7E8C" w:rsidRDefault="005867F3" w:rsidP="005867F3">
      <w:pPr>
        <w:pStyle w:val="NormalWeb"/>
        <w:rPr>
          <w:rFonts w:ascii="Arial" w:hAnsi="Arial" w:cs="Arial"/>
        </w:rPr>
      </w:pPr>
    </w:p>
    <w:p w:rsidR="005867F3" w:rsidRPr="002E7E8C" w:rsidRDefault="005867F3" w:rsidP="005867F3">
      <w:pPr>
        <w:autoSpaceDE w:val="0"/>
        <w:autoSpaceDN w:val="0"/>
        <w:adjustRightInd w:val="0"/>
        <w:rPr>
          <w:rFonts w:ascii="Arial" w:hAnsi="Arial" w:cs="Arial"/>
          <w:lang w:val="en-US"/>
        </w:rPr>
      </w:pPr>
      <w:r w:rsidRPr="002E7E8C">
        <w:rPr>
          <w:rFonts w:ascii="Arial" w:hAnsi="Arial" w:cs="Arial"/>
        </w:rPr>
        <w:lastRenderedPageBreak/>
        <w:t xml:space="preserve">Practitioner competency and updates must be evidenced to </w:t>
      </w:r>
      <w:r w:rsidRPr="002E7E8C">
        <w:rPr>
          <w:rFonts w:ascii="Arial" w:hAnsi="Arial" w:cs="Arial"/>
          <w:lang w:val="en-US"/>
        </w:rPr>
        <w:t>include one CPD session (a total of 4 hours) on skin lesion recognition and the diagnosis and management of low-risk BCCs.</w:t>
      </w:r>
    </w:p>
    <w:p w:rsidR="00004284" w:rsidRPr="002E7E8C" w:rsidRDefault="00004284" w:rsidP="005867F3">
      <w:pPr>
        <w:rPr>
          <w:rFonts w:ascii="Arial" w:hAnsi="Arial" w:cs="Arial"/>
          <w:lang w:eastAsia="en-GB"/>
        </w:rPr>
      </w:pPr>
    </w:p>
    <w:p w:rsidR="005867F3" w:rsidRPr="002E7E8C" w:rsidRDefault="005867F3" w:rsidP="005867F3">
      <w:pPr>
        <w:rPr>
          <w:rFonts w:ascii="Arial" w:hAnsi="Arial" w:cs="Arial"/>
          <w:lang w:eastAsia="en-GB"/>
        </w:rPr>
      </w:pPr>
      <w:r w:rsidRPr="002E7E8C">
        <w:rPr>
          <w:rFonts w:ascii="Arial" w:hAnsi="Arial" w:cs="Arial"/>
          <w:lang w:eastAsia="en-GB"/>
        </w:rPr>
        <w:t xml:space="preserve">The paperwork required for a GP when being signed off as competent: requirements in </w:t>
      </w:r>
      <w:r w:rsidRPr="002E7E8C">
        <w:rPr>
          <w:rFonts w:ascii="Arial" w:hAnsi="Arial" w:cs="Arial"/>
          <w:lang w:val="en-US" w:eastAsia="en-GB"/>
        </w:rPr>
        <w:t>section 4 – specifically section 4.4 and Annex B &amp; C  </w:t>
      </w:r>
    </w:p>
    <w:p w:rsidR="005867F3" w:rsidRPr="002E7E8C" w:rsidRDefault="005867F3" w:rsidP="005867F3">
      <w:pPr>
        <w:rPr>
          <w:rFonts w:ascii="Arial" w:hAnsi="Arial" w:cs="Arial"/>
          <w:lang w:val="en-US" w:eastAsia="en-GB"/>
        </w:rPr>
      </w:pPr>
    </w:p>
    <w:p w:rsidR="005867F3" w:rsidRPr="002E7E8C" w:rsidRDefault="005867F3" w:rsidP="005867F3">
      <w:pPr>
        <w:rPr>
          <w:rFonts w:ascii="Arial" w:hAnsi="Arial" w:cs="Arial"/>
          <w:i/>
          <w:iCs/>
          <w:lang w:val="en-US" w:eastAsia="en-GB"/>
        </w:rPr>
      </w:pPr>
      <w:r w:rsidRPr="002E7E8C">
        <w:rPr>
          <w:rFonts w:ascii="Arial" w:hAnsi="Arial" w:cs="Arial"/>
          <w:lang w:val="en-US" w:eastAsia="en-GB"/>
        </w:rPr>
        <w:t>From Annex C for the low level BCC work we would expect - Mini-CEX at three monthly intervals until competency is demonstrated Table 1a (recognition and management of common non-malignant, pre-malignant and malignant lesions and Table 1b (inflammatory skin disorders) DOPS assessments (Table 2) dependent upon skin surgery services to be provided.</w:t>
      </w:r>
    </w:p>
    <w:p w:rsidR="005867F3" w:rsidRPr="002E7E8C" w:rsidRDefault="005867F3" w:rsidP="005867F3">
      <w:pPr>
        <w:pStyle w:val="NormalWeb"/>
        <w:rPr>
          <w:rFonts w:ascii="Arial" w:hAnsi="Arial" w:cs="Arial"/>
        </w:rPr>
      </w:pPr>
    </w:p>
    <w:p w:rsidR="005867F3" w:rsidRPr="002E7E8C" w:rsidRDefault="0086123D" w:rsidP="005867F3">
      <w:pPr>
        <w:pStyle w:val="NormalWeb"/>
        <w:rPr>
          <w:rFonts w:ascii="Arial" w:hAnsi="Arial" w:cs="Arial"/>
        </w:rPr>
      </w:pPr>
      <w:hyperlink r:id="rId9" w:history="1">
        <w:r w:rsidR="005867F3" w:rsidRPr="002E7E8C">
          <w:rPr>
            <w:rStyle w:val="Hyperlink"/>
            <w:rFonts w:ascii="Arial" w:hAnsi="Arial" w:cs="Arial"/>
            <w:color w:val="auto"/>
          </w:rPr>
          <w:t>http://www.rcgp.org.uk/clinical-and-research/clinical-resources/~/media/Files/CIRC/GPwSI/Dermatology%20and%20skin%20surgery%202011.ashx</w:t>
        </w:r>
      </w:hyperlink>
      <w:r w:rsidR="006A740B">
        <w:rPr>
          <w:rStyle w:val="Hyperlink"/>
          <w:rFonts w:ascii="Arial" w:hAnsi="Arial" w:cs="Arial"/>
          <w:color w:val="auto"/>
        </w:rPr>
        <w:t xml:space="preserve"> </w:t>
      </w:r>
      <w:r w:rsidR="0051478F">
        <w:rPr>
          <w:rStyle w:val="Hyperlink"/>
          <w:rFonts w:ascii="Arial" w:hAnsi="Arial" w:cs="Arial"/>
          <w:color w:val="auto"/>
        </w:rPr>
        <w:t xml:space="preserve"> </w:t>
      </w:r>
      <w:r w:rsidR="006A740B">
        <w:rPr>
          <w:rStyle w:val="Hyperlink"/>
          <w:rFonts w:ascii="Arial" w:hAnsi="Arial" w:cs="Arial"/>
          <w:color w:val="auto"/>
        </w:rPr>
        <w:t xml:space="preserve"> </w:t>
      </w:r>
    </w:p>
    <w:p w:rsidR="004725C0" w:rsidRPr="002E7E8C" w:rsidRDefault="004725C0" w:rsidP="00DD393C">
      <w:pPr>
        <w:tabs>
          <w:tab w:val="left" w:pos="540"/>
        </w:tabs>
        <w:jc w:val="both"/>
        <w:rPr>
          <w:rFonts w:ascii="Arial" w:hAnsi="Arial" w:cs="Arial"/>
        </w:rPr>
      </w:pPr>
    </w:p>
    <w:p w:rsidR="005C4B5A" w:rsidRPr="005C4B5A" w:rsidRDefault="005C4B5A" w:rsidP="005C4B5A">
      <w:pPr>
        <w:rPr>
          <w:rFonts w:ascii="Arial" w:hAnsi="Arial" w:cs="Arial"/>
          <w:b/>
        </w:rPr>
      </w:pPr>
      <w:r w:rsidRPr="005C4B5A">
        <w:rPr>
          <w:rFonts w:ascii="Arial" w:hAnsi="Arial" w:cs="Arial"/>
          <w:b/>
        </w:rPr>
        <w:t>Performance and Payment</w:t>
      </w:r>
    </w:p>
    <w:p w:rsidR="005C4B5A" w:rsidRPr="005C4B5A" w:rsidRDefault="005C4B5A" w:rsidP="005C4B5A">
      <w:pPr>
        <w:rPr>
          <w:rFonts w:ascii="Arial" w:hAnsi="Arial" w:cs="Arial"/>
          <w:b/>
        </w:rPr>
      </w:pPr>
    </w:p>
    <w:p w:rsidR="005C4B5A" w:rsidRPr="005C4B5A" w:rsidRDefault="005C4B5A" w:rsidP="005C4B5A">
      <w:pPr>
        <w:rPr>
          <w:rFonts w:ascii="Arial" w:hAnsi="Arial" w:cs="Arial"/>
        </w:rPr>
      </w:pPr>
      <w:r w:rsidRPr="005C4B5A">
        <w:rPr>
          <w:rFonts w:ascii="Arial" w:hAnsi="Arial" w:cs="Arial"/>
        </w:rPr>
        <w:t>Activity data should be submitted on a monthly basis to the CCG</w:t>
      </w:r>
    </w:p>
    <w:p w:rsidR="005C4B5A" w:rsidRPr="005C4B5A" w:rsidRDefault="005C4B5A" w:rsidP="005C4B5A">
      <w:pPr>
        <w:rPr>
          <w:rFonts w:ascii="Arial" w:hAnsi="Arial" w:cs="Arial"/>
        </w:rPr>
      </w:pPr>
    </w:p>
    <w:p w:rsidR="005C4B5A" w:rsidRDefault="005C4B5A" w:rsidP="005C4B5A">
      <w:pPr>
        <w:rPr>
          <w:rFonts w:ascii="Arial" w:hAnsi="Arial" w:cs="Arial"/>
        </w:rPr>
      </w:pPr>
      <w:r w:rsidRPr="005C4B5A">
        <w:rPr>
          <w:rFonts w:ascii="Arial" w:hAnsi="Arial" w:cs="Arial"/>
        </w:rPr>
        <w:t xml:space="preserve">The practice will be required to submit audit information on </w:t>
      </w:r>
      <w:r w:rsidR="00F13750">
        <w:rPr>
          <w:rFonts w:ascii="Arial" w:hAnsi="Arial" w:cs="Arial"/>
        </w:rPr>
        <w:t>a monthly basis outlining:</w:t>
      </w:r>
    </w:p>
    <w:p w:rsidR="0051478F" w:rsidRDefault="0051478F" w:rsidP="005C4B5A">
      <w:pPr>
        <w:rPr>
          <w:rFonts w:ascii="Arial" w:hAnsi="Arial" w:cs="Arial"/>
        </w:rPr>
      </w:pPr>
    </w:p>
    <w:p w:rsidR="00F13750" w:rsidRPr="00F13750" w:rsidRDefault="00F13750" w:rsidP="00F13750">
      <w:pPr>
        <w:numPr>
          <w:ilvl w:val="0"/>
          <w:numId w:val="36"/>
        </w:numPr>
        <w:rPr>
          <w:rFonts w:ascii="Arial" w:hAnsi="Arial" w:cs="Arial"/>
          <w:b/>
        </w:rPr>
      </w:pPr>
      <w:r>
        <w:rPr>
          <w:rFonts w:ascii="Arial" w:hAnsi="Arial" w:cs="Arial"/>
        </w:rPr>
        <w:t>Number of patients treated</w:t>
      </w:r>
    </w:p>
    <w:p w:rsidR="00F13750" w:rsidRPr="00F13750" w:rsidRDefault="00F13750" w:rsidP="00F13750">
      <w:pPr>
        <w:numPr>
          <w:ilvl w:val="0"/>
          <w:numId w:val="36"/>
        </w:numPr>
        <w:rPr>
          <w:rFonts w:ascii="Arial" w:hAnsi="Arial" w:cs="Arial"/>
          <w:b/>
        </w:rPr>
      </w:pPr>
      <w:r>
        <w:rPr>
          <w:rFonts w:ascii="Arial" w:hAnsi="Arial" w:cs="Arial"/>
        </w:rPr>
        <w:t>Registered Practice</w:t>
      </w:r>
    </w:p>
    <w:p w:rsidR="00F13750" w:rsidRPr="009B7B27" w:rsidRDefault="00F13750" w:rsidP="004B05C9">
      <w:pPr>
        <w:numPr>
          <w:ilvl w:val="0"/>
          <w:numId w:val="36"/>
        </w:numPr>
        <w:rPr>
          <w:rFonts w:ascii="Arial" w:hAnsi="Arial" w:cs="Arial"/>
          <w:b/>
        </w:rPr>
      </w:pPr>
      <w:r>
        <w:rPr>
          <w:rFonts w:ascii="Arial" w:hAnsi="Arial" w:cs="Arial"/>
        </w:rPr>
        <w:t>Description of procedure</w:t>
      </w:r>
    </w:p>
    <w:p w:rsidR="009B7B27" w:rsidRPr="009B7B27" w:rsidRDefault="009B7B27" w:rsidP="009B7B27">
      <w:pPr>
        <w:ind w:left="720"/>
        <w:rPr>
          <w:rFonts w:ascii="Arial" w:hAnsi="Arial" w:cs="Arial"/>
          <w:b/>
        </w:rPr>
      </w:pPr>
    </w:p>
    <w:p w:rsidR="009B7B27" w:rsidRPr="009B7B27" w:rsidRDefault="009B7B27" w:rsidP="009B4D24">
      <w:pPr>
        <w:tabs>
          <w:tab w:val="left" w:pos="540"/>
        </w:tabs>
        <w:rPr>
          <w:rFonts w:ascii="Arial" w:hAnsi="Arial" w:cs="Arial"/>
        </w:rPr>
      </w:pPr>
      <w:r w:rsidRPr="009B7B27">
        <w:rPr>
          <w:rFonts w:ascii="Arial" w:hAnsi="Arial" w:cs="Arial"/>
        </w:rPr>
        <w:t>The practice may also receive a payment for assessment of a patient if at assessment</w:t>
      </w:r>
    </w:p>
    <w:p w:rsidR="009B7B27" w:rsidRPr="009B7B27" w:rsidRDefault="009B7B27" w:rsidP="009B7B27">
      <w:pPr>
        <w:tabs>
          <w:tab w:val="left" w:pos="540"/>
        </w:tabs>
        <w:jc w:val="both"/>
        <w:rPr>
          <w:rFonts w:ascii="Arial" w:hAnsi="Arial" w:cs="Arial"/>
        </w:rPr>
      </w:pPr>
      <w:r w:rsidRPr="009B7B27">
        <w:rPr>
          <w:rFonts w:ascii="Arial" w:hAnsi="Arial" w:cs="Arial"/>
        </w:rPr>
        <w:t>the procedure is either not indicated or declined by the patient.</w:t>
      </w:r>
    </w:p>
    <w:p w:rsidR="009B7B27" w:rsidRPr="009B7B27" w:rsidRDefault="009B7B27" w:rsidP="009B7B27">
      <w:pPr>
        <w:pStyle w:val="NormalWeb"/>
        <w:rPr>
          <w:rFonts w:ascii="Arial" w:hAnsi="Arial" w:cs="Arial"/>
        </w:rPr>
      </w:pPr>
    </w:p>
    <w:p w:rsidR="009B7B27" w:rsidRPr="009B7B27" w:rsidRDefault="009B7B27" w:rsidP="009B7B27">
      <w:pPr>
        <w:pStyle w:val="NormalWeb"/>
        <w:rPr>
          <w:rFonts w:ascii="Arial" w:hAnsi="Arial" w:cs="Arial"/>
        </w:rPr>
      </w:pPr>
      <w:r w:rsidRPr="009B7B27">
        <w:rPr>
          <w:rFonts w:ascii="Arial" w:hAnsi="Arial" w:cs="Arial"/>
        </w:rPr>
        <w:t>Fees apply for both registered and non-registered patients.</w:t>
      </w:r>
    </w:p>
    <w:p w:rsidR="009B7B27" w:rsidRPr="009B7B27" w:rsidRDefault="009B7B27" w:rsidP="009B7B27">
      <w:pPr>
        <w:pStyle w:val="NormalWeb"/>
        <w:rPr>
          <w:rFonts w:ascii="Arial" w:hAnsi="Arial" w:cs="Arial"/>
        </w:rPr>
      </w:pPr>
    </w:p>
    <w:p w:rsidR="009B7B27" w:rsidRPr="009B7B27" w:rsidRDefault="009B7B27" w:rsidP="009B7B27">
      <w:pPr>
        <w:pStyle w:val="NormalWeb"/>
        <w:rPr>
          <w:rFonts w:ascii="Arial" w:hAnsi="Arial" w:cs="Arial"/>
        </w:rPr>
      </w:pPr>
      <w:r w:rsidRPr="009B7B27">
        <w:rPr>
          <w:rFonts w:ascii="Arial" w:hAnsi="Arial" w:cs="Arial"/>
        </w:rPr>
        <w:t>The rate of each fee will be the same as those in the Minor Surgery Enhanced service</w:t>
      </w:r>
      <w:r w:rsidR="0055503B">
        <w:rPr>
          <w:rFonts w:ascii="Arial" w:hAnsi="Arial" w:cs="Arial"/>
        </w:rPr>
        <w:t>. Practices that participate in the TeleDERM service will also be able to provide this to non-registered patients under the same terms as this specification.</w:t>
      </w:r>
    </w:p>
    <w:p w:rsidR="009B7B27" w:rsidRPr="005C4B5A" w:rsidRDefault="009B7B27" w:rsidP="005C4B5A">
      <w:pPr>
        <w:rPr>
          <w:rFonts w:ascii="Arial" w:hAnsi="Arial" w:cs="Arial"/>
          <w:color w:val="FF0000"/>
        </w:rPr>
      </w:pPr>
    </w:p>
    <w:p w:rsidR="005C4B5A" w:rsidRPr="005C4B5A" w:rsidRDefault="005C4B5A" w:rsidP="005C4B5A">
      <w:pPr>
        <w:tabs>
          <w:tab w:val="left" w:pos="0"/>
        </w:tabs>
        <w:rPr>
          <w:rFonts w:ascii="Arial" w:hAnsi="Arial" w:cs="Arial"/>
        </w:rPr>
      </w:pPr>
      <w:r w:rsidRPr="005C4B5A">
        <w:rPr>
          <w:rFonts w:ascii="Arial" w:hAnsi="Arial" w:cs="Arial"/>
        </w:rPr>
        <w:t>Activity should be submitted within 14 days of month end for activity undertaken in month.</w:t>
      </w:r>
    </w:p>
    <w:p w:rsidR="005C4B5A" w:rsidRPr="002E7E8C" w:rsidRDefault="007059B2" w:rsidP="005C4B5A">
      <w:pPr>
        <w:tabs>
          <w:tab w:val="left" w:pos="0"/>
        </w:tabs>
        <w:rPr>
          <w:rFonts w:ascii="Arial" w:hAnsi="Arial" w:cs="Arial"/>
        </w:rPr>
      </w:pPr>
      <w:r>
        <w:rPr>
          <w:rFonts w:ascii="Arial" w:hAnsi="Arial" w:cs="Arial"/>
        </w:rPr>
        <w:t>Activity for March 201</w:t>
      </w:r>
      <w:r w:rsidR="0086123D">
        <w:rPr>
          <w:rFonts w:ascii="Arial" w:hAnsi="Arial" w:cs="Arial"/>
        </w:rPr>
        <w:t>8</w:t>
      </w:r>
      <w:bookmarkStart w:id="0" w:name="_GoBack"/>
      <w:bookmarkEnd w:id="0"/>
      <w:r w:rsidR="005C4B5A" w:rsidRPr="005C4B5A">
        <w:rPr>
          <w:rFonts w:ascii="Arial" w:hAnsi="Arial" w:cs="Arial"/>
        </w:rPr>
        <w:t xml:space="preserve"> should be submitted within 7 days of month end. DCCG reserve </w:t>
      </w:r>
      <w:r w:rsidR="005C4B5A" w:rsidRPr="002E7E8C">
        <w:rPr>
          <w:rFonts w:ascii="Arial" w:hAnsi="Arial" w:cs="Arial"/>
        </w:rPr>
        <w:t>the right to withhold payment on activity not received within these time scales</w:t>
      </w:r>
    </w:p>
    <w:p w:rsidR="004B05C9" w:rsidRPr="002E7E8C" w:rsidRDefault="004B05C9" w:rsidP="005C4B5A">
      <w:pPr>
        <w:tabs>
          <w:tab w:val="left" w:pos="0"/>
        </w:tabs>
        <w:rPr>
          <w:rFonts w:ascii="Arial" w:hAnsi="Arial" w:cs="Arial"/>
        </w:rPr>
      </w:pPr>
    </w:p>
    <w:p w:rsidR="004B05C9" w:rsidRDefault="004B05C9" w:rsidP="004B05C9">
      <w:pPr>
        <w:autoSpaceDE w:val="0"/>
        <w:autoSpaceDN w:val="0"/>
        <w:adjustRightInd w:val="0"/>
        <w:rPr>
          <w:rFonts w:ascii="Arial" w:hAnsi="Arial" w:cs="Arial"/>
          <w:lang w:val="en-US"/>
        </w:rPr>
      </w:pPr>
      <w:r w:rsidRPr="002E7E8C">
        <w:rPr>
          <w:rFonts w:ascii="Arial" w:hAnsi="Arial" w:cs="Arial"/>
        </w:rPr>
        <w:t xml:space="preserve">Review data for the low risk BCC minor surgery will differ from above and it is expected that </w:t>
      </w:r>
      <w:r w:rsidRPr="002E7E8C">
        <w:rPr>
          <w:rFonts w:ascii="Arial" w:hAnsi="Arial" w:cs="Arial"/>
          <w:lang w:val="en-US"/>
        </w:rPr>
        <w:t xml:space="preserve">All GP’s must provide an annual review including: </w:t>
      </w:r>
    </w:p>
    <w:p w:rsidR="0051478F" w:rsidRPr="002E7E8C" w:rsidRDefault="0051478F" w:rsidP="004B05C9">
      <w:pPr>
        <w:autoSpaceDE w:val="0"/>
        <w:autoSpaceDN w:val="0"/>
        <w:adjustRightInd w:val="0"/>
        <w:rPr>
          <w:rFonts w:ascii="Arial" w:hAnsi="Arial" w:cs="Arial"/>
          <w:lang w:val="en-US"/>
        </w:rPr>
      </w:pPr>
    </w:p>
    <w:p w:rsidR="004B05C9" w:rsidRPr="002E7E8C" w:rsidRDefault="004B05C9" w:rsidP="004B05C9">
      <w:pPr>
        <w:numPr>
          <w:ilvl w:val="0"/>
          <w:numId w:val="38"/>
        </w:numPr>
        <w:autoSpaceDE w:val="0"/>
        <w:autoSpaceDN w:val="0"/>
        <w:adjustRightInd w:val="0"/>
        <w:rPr>
          <w:rFonts w:ascii="Arial" w:hAnsi="Arial" w:cs="Arial"/>
          <w:lang w:val="en-US"/>
        </w:rPr>
      </w:pPr>
      <w:r w:rsidRPr="002E7E8C">
        <w:rPr>
          <w:rFonts w:ascii="Arial" w:hAnsi="Arial" w:cs="Arial"/>
          <w:lang w:val="en-US"/>
        </w:rPr>
        <w:t>Evidence of clinical compared with histological accuracy in diagnosis for the low-risk BCCs they have managed.</w:t>
      </w:r>
    </w:p>
    <w:p w:rsidR="004B05C9" w:rsidRPr="002E7E8C" w:rsidRDefault="004B05C9" w:rsidP="004B05C9">
      <w:pPr>
        <w:numPr>
          <w:ilvl w:val="0"/>
          <w:numId w:val="38"/>
        </w:numPr>
        <w:autoSpaceDE w:val="0"/>
        <w:autoSpaceDN w:val="0"/>
        <w:adjustRightInd w:val="0"/>
        <w:rPr>
          <w:rFonts w:ascii="Arial" w:hAnsi="Arial" w:cs="Arial"/>
          <w:lang w:val="en-US"/>
        </w:rPr>
      </w:pPr>
      <w:r w:rsidRPr="002E7E8C">
        <w:rPr>
          <w:rFonts w:ascii="Arial" w:hAnsi="Arial" w:cs="Arial"/>
          <w:lang w:val="en-US"/>
        </w:rPr>
        <w:t>Details of all types of skin cancer removed in their practice as described in the 2006 NICE guidance on skin cancer services and should not knowingly remove skin cancers other than low-risk BCCs</w:t>
      </w:r>
    </w:p>
    <w:p w:rsidR="004B05C9" w:rsidRPr="0051478F" w:rsidRDefault="004B05C9" w:rsidP="004B05C9">
      <w:pPr>
        <w:numPr>
          <w:ilvl w:val="0"/>
          <w:numId w:val="38"/>
        </w:numPr>
        <w:rPr>
          <w:rFonts w:ascii="Arial" w:hAnsi="Arial" w:cs="Arial"/>
        </w:rPr>
      </w:pPr>
      <w:r w:rsidRPr="002E7E8C">
        <w:rPr>
          <w:rFonts w:ascii="Arial" w:hAnsi="Arial" w:cs="Arial"/>
          <w:lang w:val="en-US"/>
        </w:rPr>
        <w:t>Evidence of their ’fail-safe‘ log of all their procedures with histological outcome to ensure that patients are informed of the final diagnosis, and whether any further</w:t>
      </w:r>
      <w:r w:rsidRPr="002E7E8C">
        <w:rPr>
          <w:rFonts w:ascii="Arial" w:hAnsi="Arial" w:cs="Arial"/>
        </w:rPr>
        <w:t xml:space="preserve"> </w:t>
      </w:r>
      <w:r w:rsidRPr="002E7E8C">
        <w:rPr>
          <w:rFonts w:ascii="Arial" w:hAnsi="Arial" w:cs="Arial"/>
          <w:lang w:val="en-US"/>
        </w:rPr>
        <w:t>treatment or follow-up is required.</w:t>
      </w:r>
    </w:p>
    <w:p w:rsidR="0051478F" w:rsidRPr="002E7E8C" w:rsidRDefault="0051478F" w:rsidP="0051478F">
      <w:pPr>
        <w:ind w:left="720"/>
        <w:rPr>
          <w:rFonts w:ascii="Arial" w:hAnsi="Arial" w:cs="Arial"/>
        </w:rPr>
      </w:pPr>
    </w:p>
    <w:p w:rsidR="00B1381A" w:rsidRPr="002E7E8C" w:rsidRDefault="00B1381A" w:rsidP="009B4D24">
      <w:pPr>
        <w:tabs>
          <w:tab w:val="left" w:pos="540"/>
        </w:tabs>
        <w:rPr>
          <w:rFonts w:ascii="Arial" w:hAnsi="Arial" w:cs="Arial"/>
        </w:rPr>
      </w:pPr>
      <w:r w:rsidRPr="002E7E8C">
        <w:rPr>
          <w:rFonts w:ascii="Arial" w:hAnsi="Arial" w:cs="Arial"/>
        </w:rPr>
        <w:t xml:space="preserve">Each practice contracted to provide the low risk BCC minor surgery enhanced service will be eligible to receive a fee per procedure performed. The fee includes the cost of admin time, consumables, practice </w:t>
      </w:r>
      <w:r w:rsidR="0051478F">
        <w:rPr>
          <w:rFonts w:ascii="Arial" w:hAnsi="Arial" w:cs="Arial"/>
        </w:rPr>
        <w:t>nurse time and superannuation.</w:t>
      </w:r>
    </w:p>
    <w:p w:rsidR="00B1381A" w:rsidRPr="002E7E8C" w:rsidRDefault="00B1381A" w:rsidP="00B1381A">
      <w:pPr>
        <w:tabs>
          <w:tab w:val="left" w:pos="540"/>
        </w:tabs>
        <w:ind w:left="540" w:hanging="540"/>
        <w:jc w:val="both"/>
        <w:rPr>
          <w:rFonts w:ascii="Arial" w:hAnsi="Arial" w:cs="Arial"/>
        </w:rPr>
      </w:pPr>
    </w:p>
    <w:p w:rsidR="004B05C9" w:rsidRPr="002E7E8C" w:rsidRDefault="004B05C9" w:rsidP="004B05C9">
      <w:pPr>
        <w:rPr>
          <w:rFonts w:ascii="Arial" w:hAnsi="Arial" w:cs="Arial"/>
          <w:b/>
        </w:rPr>
      </w:pPr>
    </w:p>
    <w:p w:rsidR="004B05C9" w:rsidRPr="005C4B5A" w:rsidRDefault="004B05C9" w:rsidP="005C4B5A">
      <w:pPr>
        <w:tabs>
          <w:tab w:val="left" w:pos="0"/>
        </w:tabs>
        <w:rPr>
          <w:rFonts w:ascii="Arial" w:hAnsi="Arial" w:cs="Arial"/>
        </w:rPr>
      </w:pPr>
    </w:p>
    <w:p w:rsidR="00B31DC2" w:rsidRDefault="004725C0">
      <w:pPr>
        <w:ind w:left="360"/>
        <w:jc w:val="center"/>
        <w:rPr>
          <w:rFonts w:ascii="Arial" w:hAnsi="Arial" w:cs="Arial"/>
          <w:b/>
          <w:u w:val="single"/>
        </w:rPr>
      </w:pPr>
      <w:r w:rsidRPr="00DD393C">
        <w:rPr>
          <w:rFonts w:ascii="Arial" w:hAnsi="Arial" w:cs="Arial"/>
          <w:b/>
          <w:sz w:val="22"/>
          <w:szCs w:val="22"/>
          <w:u w:val="single"/>
        </w:rPr>
        <w:br w:type="page"/>
      </w:r>
      <w:r w:rsidR="00B31DC2">
        <w:rPr>
          <w:rFonts w:ascii="Arial" w:hAnsi="Arial" w:cs="Arial"/>
          <w:b/>
          <w:u w:val="single"/>
        </w:rPr>
        <w:lastRenderedPageBreak/>
        <w:t>Referral and Clinical Record for Minor Surgery Procedure</w:t>
      </w:r>
    </w:p>
    <w:p w:rsidR="00B31DC2" w:rsidRDefault="00B31DC2">
      <w:pPr>
        <w:pStyle w:val="Heading6"/>
      </w:pPr>
      <w:r>
        <w:t>Referrer to complete</w:t>
      </w:r>
    </w:p>
    <w:p w:rsidR="00B31DC2" w:rsidRDefault="00B31DC2">
      <w:pPr>
        <w:tabs>
          <w:tab w:val="left" w:pos="4860"/>
        </w:tabs>
        <w:ind w:left="360"/>
        <w:jc w:val="both"/>
        <w:rPr>
          <w:rFonts w:ascii="Arial" w:hAnsi="Arial" w:cs="Arial"/>
        </w:rPr>
      </w:pPr>
      <w:r>
        <w:rPr>
          <w:rFonts w:ascii="Arial" w:hAnsi="Arial" w:cs="Arial"/>
        </w:rPr>
        <w:t xml:space="preserve">Patent Details </w:t>
      </w:r>
      <w:r>
        <w:rPr>
          <w:rFonts w:ascii="Arial" w:hAnsi="Arial" w:cs="Arial"/>
        </w:rPr>
        <w:tab/>
        <w:t>Referrer Details (use Stamp)</w:t>
      </w:r>
    </w:p>
    <w:p w:rsidR="00B31DC2" w:rsidRDefault="00F04E09">
      <w:pPr>
        <w:tabs>
          <w:tab w:val="left" w:pos="4860"/>
        </w:tabs>
        <w:ind w:left="360"/>
        <w:jc w:val="both"/>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45720</wp:posOffset>
                </wp:positionV>
                <wp:extent cx="2400300" cy="1371600"/>
                <wp:effectExtent l="9525" t="7620" r="9525"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4pt;margin-top:3.6pt;width:189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6eAIAAP0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" filled="f"/>
            </w:pict>
          </mc:Fallback>
        </mc:AlternateContent>
      </w:r>
      <w:r w:rsidR="00B31DC2">
        <w:rPr>
          <w:rFonts w:ascii="Arial" w:hAnsi="Arial" w:cs="Arial"/>
        </w:rPr>
        <w:tab/>
      </w:r>
    </w:p>
    <w:p w:rsidR="00B31DC2" w:rsidRDefault="00B31DC2">
      <w:pPr>
        <w:tabs>
          <w:tab w:val="left" w:pos="4860"/>
        </w:tabs>
        <w:ind w:left="360"/>
        <w:jc w:val="both"/>
        <w:rPr>
          <w:rFonts w:ascii="Arial" w:hAnsi="Arial" w:cs="Arial"/>
          <w:sz w:val="18"/>
          <w:szCs w:val="18"/>
        </w:rPr>
      </w:pPr>
      <w:r>
        <w:rPr>
          <w:rFonts w:ascii="Arial" w:hAnsi="Arial" w:cs="Arial"/>
          <w:sz w:val="18"/>
          <w:szCs w:val="18"/>
        </w:rPr>
        <w:t>Surname ……………………………….</w:t>
      </w:r>
      <w:r>
        <w:rPr>
          <w:rFonts w:ascii="Arial" w:hAnsi="Arial" w:cs="Arial"/>
          <w:sz w:val="18"/>
          <w:szCs w:val="18"/>
        </w:rPr>
        <w:tab/>
        <w:t>Name</w:t>
      </w:r>
    </w:p>
    <w:p w:rsidR="00B31DC2" w:rsidRDefault="00B31DC2">
      <w:pPr>
        <w:tabs>
          <w:tab w:val="left" w:pos="4860"/>
        </w:tabs>
        <w:ind w:left="360"/>
        <w:jc w:val="both"/>
        <w:rPr>
          <w:rFonts w:ascii="Arial" w:hAnsi="Arial" w:cs="Arial"/>
          <w:sz w:val="18"/>
          <w:szCs w:val="18"/>
        </w:rPr>
      </w:pPr>
      <w:r>
        <w:rPr>
          <w:rFonts w:ascii="Arial" w:hAnsi="Arial" w:cs="Arial"/>
          <w:sz w:val="18"/>
          <w:szCs w:val="18"/>
        </w:rPr>
        <w:t>Forename ………………………………..</w:t>
      </w:r>
      <w:r>
        <w:rPr>
          <w:rFonts w:ascii="Arial" w:hAnsi="Arial" w:cs="Arial"/>
          <w:sz w:val="18"/>
          <w:szCs w:val="18"/>
        </w:rPr>
        <w:tab/>
        <w:t>Surgery</w:t>
      </w:r>
    </w:p>
    <w:p w:rsidR="00B31DC2" w:rsidRDefault="00B31DC2">
      <w:pPr>
        <w:tabs>
          <w:tab w:val="left" w:pos="4860"/>
        </w:tabs>
        <w:ind w:left="360"/>
        <w:jc w:val="both"/>
        <w:rPr>
          <w:rFonts w:ascii="Arial" w:hAnsi="Arial" w:cs="Arial"/>
          <w:sz w:val="18"/>
          <w:szCs w:val="18"/>
        </w:rPr>
      </w:pPr>
      <w:r>
        <w:rPr>
          <w:rFonts w:ascii="Arial" w:hAnsi="Arial" w:cs="Arial"/>
          <w:sz w:val="18"/>
          <w:szCs w:val="18"/>
        </w:rPr>
        <w:t>Date of Birth…………………………….</w:t>
      </w:r>
    </w:p>
    <w:p w:rsidR="00B31DC2" w:rsidRDefault="00B31DC2">
      <w:pPr>
        <w:tabs>
          <w:tab w:val="left" w:pos="4860"/>
        </w:tabs>
        <w:ind w:left="360"/>
        <w:jc w:val="both"/>
        <w:rPr>
          <w:rFonts w:ascii="Arial" w:hAnsi="Arial" w:cs="Arial"/>
          <w:sz w:val="18"/>
          <w:szCs w:val="18"/>
        </w:rPr>
      </w:pPr>
      <w:r>
        <w:rPr>
          <w:rFonts w:ascii="Arial" w:hAnsi="Arial" w:cs="Arial"/>
          <w:sz w:val="18"/>
          <w:szCs w:val="18"/>
        </w:rPr>
        <w:t>NHA No …………………………………</w:t>
      </w:r>
    </w:p>
    <w:p w:rsidR="00B31DC2" w:rsidRDefault="00B31DC2">
      <w:pPr>
        <w:tabs>
          <w:tab w:val="left" w:pos="4860"/>
        </w:tabs>
        <w:ind w:left="360"/>
        <w:jc w:val="both"/>
        <w:rPr>
          <w:rFonts w:ascii="Arial" w:hAnsi="Arial" w:cs="Arial"/>
          <w:sz w:val="18"/>
          <w:szCs w:val="18"/>
        </w:rPr>
      </w:pPr>
      <w:r>
        <w:rPr>
          <w:rFonts w:ascii="Arial" w:hAnsi="Arial" w:cs="Arial"/>
          <w:sz w:val="18"/>
          <w:szCs w:val="18"/>
        </w:rPr>
        <w:t>Address………………………………….</w:t>
      </w:r>
    </w:p>
    <w:p w:rsidR="00B31DC2" w:rsidRDefault="00B31DC2">
      <w:pPr>
        <w:tabs>
          <w:tab w:val="left" w:pos="4860"/>
        </w:tabs>
        <w:ind w:left="360"/>
        <w:jc w:val="both"/>
        <w:rPr>
          <w:rFonts w:ascii="Arial" w:hAnsi="Arial" w:cs="Arial"/>
          <w:sz w:val="18"/>
          <w:szCs w:val="18"/>
        </w:rPr>
      </w:pPr>
      <w:r>
        <w:rPr>
          <w:rFonts w:ascii="Arial" w:hAnsi="Arial" w:cs="Arial"/>
          <w:sz w:val="18"/>
          <w:szCs w:val="18"/>
        </w:rPr>
        <w:t>……………………………………………</w:t>
      </w:r>
      <w:r>
        <w:rPr>
          <w:rFonts w:ascii="Arial" w:hAnsi="Arial" w:cs="Arial"/>
          <w:sz w:val="18"/>
          <w:szCs w:val="18"/>
        </w:rPr>
        <w:tab/>
        <w:t>Contact No</w:t>
      </w:r>
    </w:p>
    <w:p w:rsidR="00B31DC2" w:rsidRDefault="00B31DC2">
      <w:pPr>
        <w:tabs>
          <w:tab w:val="left" w:pos="4860"/>
        </w:tabs>
        <w:ind w:left="360"/>
        <w:jc w:val="both"/>
        <w:rPr>
          <w:rFonts w:ascii="Arial" w:hAnsi="Arial" w:cs="Arial"/>
        </w:rPr>
      </w:pPr>
      <w:r>
        <w:rPr>
          <w:rFonts w:ascii="Arial" w:hAnsi="Arial" w:cs="Arial"/>
          <w:sz w:val="18"/>
          <w:szCs w:val="18"/>
        </w:rPr>
        <w:t>Post Code………</w:t>
      </w:r>
      <w:r>
        <w:rPr>
          <w:rFonts w:ascii="Arial" w:hAnsi="Arial" w:cs="Arial"/>
        </w:rPr>
        <w:t>…………</w:t>
      </w:r>
    </w:p>
    <w:p w:rsidR="00B31DC2" w:rsidRDefault="00B31DC2">
      <w:pPr>
        <w:ind w:left="360"/>
        <w:jc w:val="both"/>
        <w:rPr>
          <w:rFonts w:ascii="Arial" w:hAnsi="Arial" w:cs="Arial"/>
          <w:sz w:val="20"/>
          <w:szCs w:val="20"/>
        </w:rPr>
      </w:pPr>
      <w:r>
        <w:rPr>
          <w:rFonts w:ascii="Arial" w:hAnsi="Arial" w:cs="Arial"/>
          <w:sz w:val="20"/>
          <w:szCs w:val="20"/>
        </w:rPr>
        <w:t>Telephone………………………</w:t>
      </w:r>
    </w:p>
    <w:p w:rsidR="00B31DC2" w:rsidRDefault="00B31DC2">
      <w:pPr>
        <w:ind w:left="360"/>
        <w:jc w:val="both"/>
        <w:rPr>
          <w:rFonts w:ascii="Arial" w:hAnsi="Arial" w:cs="Arial"/>
        </w:rPr>
      </w:pPr>
    </w:p>
    <w:p w:rsidR="00B31DC2" w:rsidRDefault="00B31DC2">
      <w:pPr>
        <w:ind w:left="360"/>
        <w:jc w:val="both"/>
        <w:rPr>
          <w:rFonts w:ascii="Arial" w:hAnsi="Arial" w:cs="Arial"/>
        </w:rPr>
      </w:pPr>
    </w:p>
    <w:p w:rsidR="00B31DC2" w:rsidRDefault="00B31DC2">
      <w:pPr>
        <w:ind w:left="360"/>
        <w:jc w:val="both"/>
        <w:rPr>
          <w:rFonts w:ascii="Arial" w:hAnsi="Arial" w:cs="Arial"/>
          <w:sz w:val="20"/>
          <w:szCs w:val="20"/>
        </w:rPr>
      </w:pPr>
      <w:r>
        <w:rPr>
          <w:rFonts w:ascii="Arial" w:hAnsi="Arial" w:cs="Arial"/>
          <w:sz w:val="20"/>
          <w:szCs w:val="20"/>
        </w:rPr>
        <w:t>Lesion Type</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63500</wp:posOffset>
                </wp:positionV>
                <wp:extent cx="4800600" cy="342900"/>
                <wp:effectExtent l="9525" t="6350" r="9525" b="127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5pt;width:37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-2222500</wp:posOffset>
                </wp:positionV>
                <wp:extent cx="2400300" cy="1371600"/>
                <wp:effectExtent l="9525" t="6350" r="9525"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75pt;width:189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L4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" filled="f"/>
            </w:pict>
          </mc:Fallback>
        </mc:AlternateContent>
      </w:r>
      <w:r w:rsidR="00B31DC2">
        <w:rPr>
          <w:rFonts w:ascii="Arial" w:hAnsi="Arial" w:cs="Arial"/>
          <w:sz w:val="20"/>
          <w:szCs w:val="20"/>
        </w:rPr>
        <w:t>Lesion Site</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50800</wp:posOffset>
                </wp:positionV>
                <wp:extent cx="4800600" cy="457200"/>
                <wp:effectExtent l="9525" t="12700" r="952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4pt;width:37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pStyle w:val="Heading7"/>
      </w:pPr>
      <w:r>
        <w:t>Provider to complete</w:t>
      </w:r>
    </w:p>
    <w:p w:rsidR="00B31DC2" w:rsidRDefault="00B31DC2">
      <w:pPr>
        <w:ind w:left="360"/>
        <w:jc w:val="both"/>
        <w:rPr>
          <w:rFonts w:ascii="Arial" w:hAnsi="Arial" w:cs="Arial"/>
          <w:sz w:val="20"/>
          <w:szCs w:val="20"/>
        </w:rPr>
      </w:pPr>
      <w:r>
        <w:rPr>
          <w:rFonts w:ascii="Arial" w:hAnsi="Arial" w:cs="Arial"/>
          <w:sz w:val="20"/>
          <w:szCs w:val="20"/>
        </w:rPr>
        <w:t>Assessment Notes</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6350</wp:posOffset>
                </wp:positionV>
                <wp:extent cx="5143500" cy="685800"/>
                <wp:effectExtent l="9525" t="6350" r="952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5pt;width:4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k4eAIAAPs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r>
        <w:rPr>
          <w:rFonts w:ascii="Arial" w:hAnsi="Arial" w:cs="Arial"/>
          <w:sz w:val="20"/>
          <w:szCs w:val="20"/>
        </w:rPr>
        <w:t>Procedure Notes</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45085</wp:posOffset>
                </wp:positionV>
                <wp:extent cx="5143500" cy="571500"/>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3.55pt;width:4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fDdgIAAPs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r>
        <w:rPr>
          <w:rFonts w:ascii="Arial" w:hAnsi="Arial" w:cs="Arial"/>
          <w:sz w:val="20"/>
          <w:szCs w:val="20"/>
        </w:rPr>
        <w:t>Aftercare Notes</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83185</wp:posOffset>
                </wp:positionV>
                <wp:extent cx="5143500" cy="8001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6.5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ZRdwIAAPs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b/>
          <w:sz w:val="20"/>
          <w:szCs w:val="20"/>
          <w:u w:val="single"/>
        </w:rPr>
      </w:pPr>
      <w:r>
        <w:rPr>
          <w:rFonts w:ascii="Arial" w:hAnsi="Arial" w:cs="Arial"/>
          <w:b/>
          <w:sz w:val="20"/>
          <w:szCs w:val="20"/>
          <w:u w:val="single"/>
        </w:rPr>
        <w:t xml:space="preserve">Details of Items Used in Procedure </w:t>
      </w:r>
    </w:p>
    <w:p w:rsidR="00B31DC2" w:rsidRDefault="00B31DC2">
      <w:pPr>
        <w:ind w:left="360"/>
        <w:jc w:val="both"/>
        <w:rPr>
          <w:rFonts w:ascii="Arial" w:hAnsi="Arial" w:cs="Arial"/>
          <w:sz w:val="20"/>
          <w:szCs w:val="20"/>
        </w:rPr>
      </w:pPr>
      <w:r>
        <w:rPr>
          <w:rFonts w:ascii="Arial" w:hAnsi="Arial" w:cs="Arial"/>
          <w:sz w:val="20"/>
          <w:szCs w:val="20"/>
        </w:rPr>
        <w:t>Non Disposable (including Pack ID and sterilisation sequence and cycle audit trail)</w:t>
      </w: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26035</wp:posOffset>
                </wp:positionV>
                <wp:extent cx="4800600" cy="571500"/>
                <wp:effectExtent l="9525" t="6985" r="9525"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2.05pt;width:378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" filled="f"/>
            </w:pict>
          </mc:Fallback>
        </mc:AlternateConten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F04E09">
      <w:pPr>
        <w:ind w:left="3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210185</wp:posOffset>
                </wp:positionV>
                <wp:extent cx="4800600" cy="571500"/>
                <wp:effectExtent l="9525" t="10160" r="9525" b="88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16.55pt;width:37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" filled="f"/>
            </w:pict>
          </mc:Fallback>
        </mc:AlternateContent>
      </w:r>
      <w:r w:rsidR="00B31DC2">
        <w:rPr>
          <w:rFonts w:ascii="Arial" w:hAnsi="Arial" w:cs="Arial"/>
          <w:sz w:val="20"/>
          <w:szCs w:val="20"/>
        </w:rPr>
        <w:t>Disposable (Including product or drug batch number and details)</w:t>
      </w: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B31DC2" w:rsidRDefault="00B31DC2">
      <w:pPr>
        <w:ind w:left="360"/>
        <w:jc w:val="both"/>
        <w:rPr>
          <w:rFonts w:ascii="Arial" w:hAnsi="Arial" w:cs="Arial"/>
          <w:sz w:val="20"/>
          <w:szCs w:val="20"/>
        </w:rPr>
      </w:pPr>
    </w:p>
    <w:p w:rsidR="00DD393C" w:rsidRDefault="00B31DC2" w:rsidP="009B4D24">
      <w:pPr>
        <w:ind w:left="360"/>
        <w:rPr>
          <w:rFonts w:ascii="Arial" w:hAnsi="Arial" w:cs="Arial"/>
          <w:sz w:val="20"/>
          <w:szCs w:val="20"/>
        </w:rPr>
      </w:pPr>
      <w:r>
        <w:rPr>
          <w:rFonts w:ascii="Arial" w:hAnsi="Arial" w:cs="Arial"/>
          <w:sz w:val="20"/>
          <w:szCs w:val="20"/>
        </w:rPr>
        <w:t>Following completion of treatment a COPY of this form should be returned to the referring practice. The original should be retained by the Provider with the consent</w:t>
      </w:r>
    </w:p>
    <w:p w:rsidR="00DD393C" w:rsidRDefault="00DD393C" w:rsidP="0067290D">
      <w:pPr>
        <w:jc w:val="both"/>
        <w:rPr>
          <w:rFonts w:ascii="Arial" w:hAnsi="Arial" w:cs="Arial"/>
          <w:sz w:val="20"/>
          <w:szCs w:val="20"/>
        </w:rPr>
        <w:sectPr w:rsidR="00DD393C" w:rsidSect="004725C0">
          <w:headerReference w:type="default" r:id="rId10"/>
          <w:footerReference w:type="even" r:id="rId11"/>
          <w:footerReference w:type="default" r:id="rId12"/>
          <w:type w:val="oddPage"/>
          <w:pgSz w:w="11906" w:h="16838"/>
          <w:pgMar w:top="1134" w:right="1134" w:bottom="1134" w:left="1134" w:header="709" w:footer="709" w:gutter="0"/>
          <w:cols w:space="708"/>
          <w:docGrid w:linePitch="360"/>
        </w:sectPr>
      </w:pPr>
    </w:p>
    <w:p w:rsidR="00B31DC2" w:rsidRDefault="00F04E09" w:rsidP="00DD393C">
      <w:pPr>
        <w:pStyle w:val="BodyTextIndent"/>
        <w:ind w:left="0" w:firstLine="0"/>
        <w:jc w:val="both"/>
        <w:rPr>
          <w:rFonts w:ascii="Arial" w:hAnsi="Arial" w:cs="Arial"/>
          <w:sz w:val="20"/>
          <w:szCs w:val="20"/>
        </w:rPr>
      </w:pPr>
      <w:r>
        <w:rPr>
          <w:noProof/>
          <w:lang w:eastAsia="en-GB"/>
        </w:rPr>
        <w:lastRenderedPageBreak/>
        <w:drawing>
          <wp:anchor distT="0" distB="0" distL="114300" distR="114300" simplePos="0" relativeHeight="251662848" behindDoc="1" locked="0" layoutInCell="1" allowOverlap="1">
            <wp:simplePos x="0" y="0"/>
            <wp:positionH relativeFrom="column">
              <wp:posOffset>3810</wp:posOffset>
            </wp:positionH>
            <wp:positionV relativeFrom="paragraph">
              <wp:posOffset>403860</wp:posOffset>
            </wp:positionV>
            <wp:extent cx="8924925" cy="5734050"/>
            <wp:effectExtent l="0" t="0" r="9525" b="0"/>
            <wp:wrapTight wrapText="bothSides">
              <wp:wrapPolygon edited="0">
                <wp:start x="0" y="0"/>
                <wp:lineTo x="0" y="21528"/>
                <wp:lineTo x="21577" y="21528"/>
                <wp:lineTo x="21577" y="0"/>
                <wp:lineTo x="0"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4925"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-210820</wp:posOffset>
                </wp:positionV>
                <wp:extent cx="3695700" cy="27749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90D" w:rsidRDefault="0067290D" w:rsidP="0067290D">
                            <w:r w:rsidRPr="00F844B9">
                              <w:rPr>
                                <w:rFonts w:ascii="Calibri" w:hAnsi="Calibri" w:cs="Calibri"/>
                                <w:b/>
                              </w:rPr>
                              <w:t>Appendix 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6.6pt;width:291pt;height:21.8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" stroked="f">
                <v:textbox style="mso-fit-shape-to-text:t">
                  <w:txbxContent>
                    <w:p w:rsidR="0067290D" w:rsidRDefault="0067290D" w:rsidP="0067290D">
                      <w:r w:rsidRPr="00F844B9">
                        <w:rPr>
                          <w:rFonts w:ascii="Calibri" w:hAnsi="Calibri" w:cs="Calibri"/>
                          <w:b/>
                        </w:rPr>
                        <w:t>Appendix 1</w:t>
                      </w:r>
                    </w:p>
                  </w:txbxContent>
                </v:textbox>
              </v:shape>
            </w:pict>
          </mc:Fallback>
        </mc:AlternateContent>
      </w:r>
    </w:p>
    <w:sectPr w:rsidR="00B31DC2" w:rsidSect="004725C0">
      <w:footerReference w:type="default" r:id="rId14"/>
      <w:type w:val="oddPage"/>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09" w:rsidRDefault="00F04E09">
      <w:r>
        <w:separator/>
      </w:r>
    </w:p>
  </w:endnote>
  <w:endnote w:type="continuationSeparator" w:id="0">
    <w:p w:rsidR="00F04E09" w:rsidRDefault="00F0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C" w:rsidRDefault="00DD3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93C" w:rsidRDefault="00DD39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03413"/>
      <w:docPartObj>
        <w:docPartGallery w:val="Page Numbers (Bottom of Page)"/>
        <w:docPartUnique/>
      </w:docPartObj>
    </w:sdtPr>
    <w:sdtEndPr>
      <w:rPr>
        <w:noProof/>
      </w:rPr>
    </w:sdtEndPr>
    <w:sdtContent>
      <w:p w:rsidR="006A740B" w:rsidRDefault="006A740B">
        <w:pPr>
          <w:pStyle w:val="Footer"/>
          <w:jc w:val="right"/>
        </w:pPr>
        <w:r w:rsidRPr="006A740B">
          <w:rPr>
            <w:rFonts w:ascii="Arial" w:hAnsi="Arial" w:cs="Arial"/>
          </w:rPr>
          <w:fldChar w:fldCharType="begin"/>
        </w:r>
        <w:r w:rsidRPr="006A740B">
          <w:rPr>
            <w:rFonts w:ascii="Arial" w:hAnsi="Arial" w:cs="Arial"/>
          </w:rPr>
          <w:instrText xml:space="preserve"> PAGE   \* MERGEFORMAT </w:instrText>
        </w:r>
        <w:r w:rsidRPr="006A740B">
          <w:rPr>
            <w:rFonts w:ascii="Arial" w:hAnsi="Arial" w:cs="Arial"/>
          </w:rPr>
          <w:fldChar w:fldCharType="separate"/>
        </w:r>
        <w:r w:rsidR="0086123D">
          <w:rPr>
            <w:rFonts w:ascii="Arial" w:hAnsi="Arial" w:cs="Arial"/>
            <w:noProof/>
          </w:rPr>
          <w:t>4</w:t>
        </w:r>
        <w:r w:rsidRPr="006A740B">
          <w:rPr>
            <w:rFonts w:ascii="Arial" w:hAnsi="Arial" w:cs="Arial"/>
            <w:noProof/>
          </w:rPr>
          <w:fldChar w:fldCharType="end"/>
        </w:r>
      </w:p>
    </w:sdtContent>
  </w:sdt>
  <w:p w:rsidR="00DD393C" w:rsidRDefault="00DD39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C" w:rsidRDefault="00DD393C">
    <w:pPr>
      <w:pStyle w:val="Foo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09" w:rsidRDefault="00F04E09">
      <w:r>
        <w:separator/>
      </w:r>
    </w:p>
  </w:footnote>
  <w:footnote w:type="continuationSeparator" w:id="0">
    <w:p w:rsidR="00F04E09" w:rsidRDefault="00F0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C" w:rsidRPr="000C0304" w:rsidRDefault="00DD393C">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411"/>
    <w:multiLevelType w:val="hybridMultilevel"/>
    <w:tmpl w:val="32E865E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B4738"/>
    <w:multiLevelType w:val="hybridMultilevel"/>
    <w:tmpl w:val="CDD29562"/>
    <w:lvl w:ilvl="0" w:tplc="3B161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6A0BD9"/>
    <w:multiLevelType w:val="hybridMultilevel"/>
    <w:tmpl w:val="752ED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04CD1"/>
    <w:multiLevelType w:val="hybridMultilevel"/>
    <w:tmpl w:val="29CCEF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84A3C"/>
    <w:multiLevelType w:val="hybridMultilevel"/>
    <w:tmpl w:val="391072A2"/>
    <w:lvl w:ilvl="0" w:tplc="4426F81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12C34"/>
    <w:multiLevelType w:val="hybridMultilevel"/>
    <w:tmpl w:val="DD662D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753C0"/>
    <w:multiLevelType w:val="hybridMultilevel"/>
    <w:tmpl w:val="77E4CA2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1A12AF"/>
    <w:multiLevelType w:val="hybridMultilevel"/>
    <w:tmpl w:val="12B04F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0B195F"/>
    <w:multiLevelType w:val="hybridMultilevel"/>
    <w:tmpl w:val="EB302DBC"/>
    <w:lvl w:ilvl="0" w:tplc="684241FE">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D95CF4"/>
    <w:multiLevelType w:val="hybridMultilevel"/>
    <w:tmpl w:val="ACBC40D2"/>
    <w:lvl w:ilvl="0" w:tplc="741E1252">
      <w:start w:val="1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3C1302"/>
    <w:multiLevelType w:val="hybridMultilevel"/>
    <w:tmpl w:val="E5545214"/>
    <w:lvl w:ilvl="0" w:tplc="3B161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612438"/>
    <w:multiLevelType w:val="multilevel"/>
    <w:tmpl w:val="A7AE65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6E089A"/>
    <w:multiLevelType w:val="hybridMultilevel"/>
    <w:tmpl w:val="4A7E2BC8"/>
    <w:lvl w:ilvl="0" w:tplc="3B161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6E4A66"/>
    <w:multiLevelType w:val="hybridMultilevel"/>
    <w:tmpl w:val="1FF8B4A4"/>
    <w:lvl w:ilvl="0" w:tplc="0409000F">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BB44DF"/>
    <w:multiLevelType w:val="hybridMultilevel"/>
    <w:tmpl w:val="B36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90F59"/>
    <w:multiLevelType w:val="hybridMultilevel"/>
    <w:tmpl w:val="8F8C71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3A4C53"/>
    <w:multiLevelType w:val="hybridMultilevel"/>
    <w:tmpl w:val="0A768B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F791D"/>
    <w:multiLevelType w:val="hybridMultilevel"/>
    <w:tmpl w:val="E11A37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A2340"/>
    <w:multiLevelType w:val="hybridMultilevel"/>
    <w:tmpl w:val="33D4B628"/>
    <w:lvl w:ilvl="0" w:tplc="CAAE1C7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E94EBA"/>
    <w:multiLevelType w:val="hybridMultilevel"/>
    <w:tmpl w:val="E886E0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27F13"/>
    <w:multiLevelType w:val="hybridMultilevel"/>
    <w:tmpl w:val="E53CD15A"/>
    <w:lvl w:ilvl="0" w:tplc="4426F81E">
      <w:start w:val="5"/>
      <w:numFmt w:val="decimal"/>
      <w:lvlText w:val="%1."/>
      <w:lvlJc w:val="left"/>
      <w:pPr>
        <w:tabs>
          <w:tab w:val="num" w:pos="720"/>
        </w:tabs>
        <w:ind w:left="720" w:hanging="360"/>
      </w:pPr>
      <w:rPr>
        <w:rFonts w:hint="default"/>
      </w:rPr>
    </w:lvl>
    <w:lvl w:ilvl="1" w:tplc="138ADB7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082A81"/>
    <w:multiLevelType w:val="hybridMultilevel"/>
    <w:tmpl w:val="23946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13BA1"/>
    <w:multiLevelType w:val="hybridMultilevel"/>
    <w:tmpl w:val="C2F83F96"/>
    <w:lvl w:ilvl="0" w:tplc="367A72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6E07E4"/>
    <w:multiLevelType w:val="hybridMultilevel"/>
    <w:tmpl w:val="E50A3E6A"/>
    <w:lvl w:ilvl="0" w:tplc="386E54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F15E17"/>
    <w:multiLevelType w:val="hybridMultilevel"/>
    <w:tmpl w:val="E93EB2A4"/>
    <w:lvl w:ilvl="0" w:tplc="23643E6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7E3D06"/>
    <w:multiLevelType w:val="hybridMultilevel"/>
    <w:tmpl w:val="A7AE6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733CD9"/>
    <w:multiLevelType w:val="hybridMultilevel"/>
    <w:tmpl w:val="22CE9F4E"/>
    <w:lvl w:ilvl="0" w:tplc="386E54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C509C4"/>
    <w:multiLevelType w:val="hybridMultilevel"/>
    <w:tmpl w:val="75966D64"/>
    <w:lvl w:ilvl="0" w:tplc="19B6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051709"/>
    <w:multiLevelType w:val="hybridMultilevel"/>
    <w:tmpl w:val="9DE009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F4014E"/>
    <w:multiLevelType w:val="hybridMultilevel"/>
    <w:tmpl w:val="71E85A14"/>
    <w:lvl w:ilvl="0" w:tplc="A052D23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326A6D"/>
    <w:multiLevelType w:val="hybridMultilevel"/>
    <w:tmpl w:val="5F40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A50651"/>
    <w:multiLevelType w:val="hybridMultilevel"/>
    <w:tmpl w:val="E4A2A7C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2">
    <w:nsid w:val="6C1476D1"/>
    <w:multiLevelType w:val="hybridMultilevel"/>
    <w:tmpl w:val="A4B085AC"/>
    <w:lvl w:ilvl="0" w:tplc="8A80CC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406F13"/>
    <w:multiLevelType w:val="hybridMultilevel"/>
    <w:tmpl w:val="597C6CFA"/>
    <w:lvl w:ilvl="0" w:tplc="B45A4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926CA"/>
    <w:multiLevelType w:val="hybridMultilevel"/>
    <w:tmpl w:val="8B04B6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690B6D"/>
    <w:multiLevelType w:val="hybridMultilevel"/>
    <w:tmpl w:val="1F9E561A"/>
    <w:lvl w:ilvl="0" w:tplc="23643E6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FD134F"/>
    <w:multiLevelType w:val="hybridMultilevel"/>
    <w:tmpl w:val="C58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92166"/>
    <w:multiLevelType w:val="hybridMultilevel"/>
    <w:tmpl w:val="7BDC0F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A04F80"/>
    <w:multiLevelType w:val="multilevel"/>
    <w:tmpl w:val="1A0EE9A4"/>
    <w:lvl w:ilvl="0">
      <w:start w:val="9"/>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
  </w:num>
  <w:num w:numId="3">
    <w:abstractNumId w:val="32"/>
  </w:num>
  <w:num w:numId="4">
    <w:abstractNumId w:val="5"/>
  </w:num>
  <w:num w:numId="5">
    <w:abstractNumId w:val="34"/>
  </w:num>
  <w:num w:numId="6">
    <w:abstractNumId w:val="3"/>
  </w:num>
  <w:num w:numId="7">
    <w:abstractNumId w:val="28"/>
  </w:num>
  <w:num w:numId="8">
    <w:abstractNumId w:val="7"/>
  </w:num>
  <w:num w:numId="9">
    <w:abstractNumId w:val="37"/>
  </w:num>
  <w:num w:numId="10">
    <w:abstractNumId w:val="13"/>
  </w:num>
  <w:num w:numId="11">
    <w:abstractNumId w:val="21"/>
  </w:num>
  <w:num w:numId="12">
    <w:abstractNumId w:val="17"/>
  </w:num>
  <w:num w:numId="13">
    <w:abstractNumId w:val="25"/>
  </w:num>
  <w:num w:numId="14">
    <w:abstractNumId w:val="19"/>
  </w:num>
  <w:num w:numId="15">
    <w:abstractNumId w:val="15"/>
  </w:num>
  <w:num w:numId="16">
    <w:abstractNumId w:val="16"/>
  </w:num>
  <w:num w:numId="17">
    <w:abstractNumId w:val="11"/>
  </w:num>
  <w:num w:numId="18">
    <w:abstractNumId w:val="20"/>
  </w:num>
  <w:num w:numId="19">
    <w:abstractNumId w:val="22"/>
  </w:num>
  <w:num w:numId="20">
    <w:abstractNumId w:val="18"/>
  </w:num>
  <w:num w:numId="21">
    <w:abstractNumId w:val="9"/>
  </w:num>
  <w:num w:numId="22">
    <w:abstractNumId w:val="8"/>
  </w:num>
  <w:num w:numId="23">
    <w:abstractNumId w:val="38"/>
  </w:num>
  <w:num w:numId="24">
    <w:abstractNumId w:val="33"/>
  </w:num>
  <w:num w:numId="25">
    <w:abstractNumId w:val="4"/>
  </w:num>
  <w:num w:numId="26">
    <w:abstractNumId w:val="12"/>
  </w:num>
  <w:num w:numId="27">
    <w:abstractNumId w:val="1"/>
  </w:num>
  <w:num w:numId="28">
    <w:abstractNumId w:val="10"/>
  </w:num>
  <w:num w:numId="29">
    <w:abstractNumId w:val="23"/>
  </w:num>
  <w:num w:numId="30">
    <w:abstractNumId w:val="26"/>
  </w:num>
  <w:num w:numId="31">
    <w:abstractNumId w:val="24"/>
  </w:num>
  <w:num w:numId="32">
    <w:abstractNumId w:val="35"/>
  </w:num>
  <w:num w:numId="33">
    <w:abstractNumId w:val="29"/>
  </w:num>
  <w:num w:numId="34">
    <w:abstractNumId w:val="0"/>
  </w:num>
  <w:num w:numId="35">
    <w:abstractNumId w:val="6"/>
  </w:num>
  <w:num w:numId="36">
    <w:abstractNumId w:val="30"/>
  </w:num>
  <w:num w:numId="37">
    <w:abstractNumId w:val="36"/>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03"/>
    <w:rsid w:val="00004284"/>
    <w:rsid w:val="00074EE9"/>
    <w:rsid w:val="00087886"/>
    <w:rsid w:val="000A3B9B"/>
    <w:rsid w:val="000C0304"/>
    <w:rsid w:val="00121637"/>
    <w:rsid w:val="00167FCC"/>
    <w:rsid w:val="001F16CD"/>
    <w:rsid w:val="00204836"/>
    <w:rsid w:val="0021349C"/>
    <w:rsid w:val="002E7E8C"/>
    <w:rsid w:val="003803A3"/>
    <w:rsid w:val="003C1E3D"/>
    <w:rsid w:val="00426280"/>
    <w:rsid w:val="00433ECB"/>
    <w:rsid w:val="004525E5"/>
    <w:rsid w:val="004725C0"/>
    <w:rsid w:val="00483A45"/>
    <w:rsid w:val="004B05C9"/>
    <w:rsid w:val="0051478F"/>
    <w:rsid w:val="00517F33"/>
    <w:rsid w:val="0055503B"/>
    <w:rsid w:val="00563803"/>
    <w:rsid w:val="00583E00"/>
    <w:rsid w:val="005867F3"/>
    <w:rsid w:val="005C4B5A"/>
    <w:rsid w:val="00653FC0"/>
    <w:rsid w:val="0067290D"/>
    <w:rsid w:val="006A740B"/>
    <w:rsid w:val="006E603F"/>
    <w:rsid w:val="007059B2"/>
    <w:rsid w:val="007111D9"/>
    <w:rsid w:val="007878D2"/>
    <w:rsid w:val="0086123D"/>
    <w:rsid w:val="008A5F6D"/>
    <w:rsid w:val="008B1AD3"/>
    <w:rsid w:val="008E5C30"/>
    <w:rsid w:val="008F2B90"/>
    <w:rsid w:val="009374A7"/>
    <w:rsid w:val="009812FE"/>
    <w:rsid w:val="009B4D24"/>
    <w:rsid w:val="009B7B27"/>
    <w:rsid w:val="00A253FA"/>
    <w:rsid w:val="00A4448A"/>
    <w:rsid w:val="00AA0D6E"/>
    <w:rsid w:val="00B1381A"/>
    <w:rsid w:val="00B31DC2"/>
    <w:rsid w:val="00CE3ECF"/>
    <w:rsid w:val="00D449FF"/>
    <w:rsid w:val="00D955CE"/>
    <w:rsid w:val="00DD393C"/>
    <w:rsid w:val="00EE0CD7"/>
    <w:rsid w:val="00F04E09"/>
    <w:rsid w:val="00F13750"/>
    <w:rsid w:val="00F36AC3"/>
    <w:rsid w:val="00FD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ascii="Arial" w:hAnsi="Arial" w:cs="Arial"/>
      <w:b/>
      <w:bCs/>
    </w:rPr>
  </w:style>
  <w:style w:type="paragraph" w:styleId="Heading6">
    <w:name w:val="heading 6"/>
    <w:basedOn w:val="Normal"/>
    <w:next w:val="Normal"/>
    <w:qFormat/>
    <w:pPr>
      <w:keepNext/>
      <w:ind w:left="360"/>
      <w:outlineLvl w:val="5"/>
    </w:pPr>
    <w:rPr>
      <w:rFonts w:ascii="Arial" w:hAnsi="Arial" w:cs="Arial"/>
      <w:b/>
      <w:u w:val="single"/>
    </w:rPr>
  </w:style>
  <w:style w:type="paragraph" w:styleId="Heading7">
    <w:name w:val="heading 7"/>
    <w:basedOn w:val="Normal"/>
    <w:next w:val="Normal"/>
    <w:qFormat/>
    <w:pPr>
      <w:keepNext/>
      <w:ind w:left="360"/>
      <w:jc w:val="both"/>
      <w:outlineLvl w:val="6"/>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sz w:val="32"/>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jc w:val="both"/>
    </w:pPr>
    <w:rPr>
      <w:rFonts w:ascii="Arial" w:hAnsi="Arial" w:cs="Arial"/>
      <w:color w:val="FF0000"/>
    </w:rPr>
  </w:style>
  <w:style w:type="paragraph" w:styleId="BodyText">
    <w:name w:val="Body Text"/>
    <w:basedOn w:val="Normal"/>
    <w:pPr>
      <w:jc w:val="both"/>
    </w:pPr>
    <w:rPr>
      <w:rFonts w:ascii="Arial" w:hAnsi="Arial" w:cs="Arial"/>
      <w:color w:val="FF0000"/>
    </w:rPr>
  </w:style>
  <w:style w:type="paragraph" w:styleId="ListParagraph">
    <w:name w:val="List Paragraph"/>
    <w:basedOn w:val="Normal"/>
    <w:uiPriority w:val="34"/>
    <w:qFormat/>
    <w:rsid w:val="005867F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867F3"/>
    <w:rPr>
      <w:rFonts w:eastAsia="Calibri"/>
      <w:lang w:eastAsia="en-GB"/>
    </w:rPr>
  </w:style>
  <w:style w:type="paragraph" w:styleId="BalloonText">
    <w:name w:val="Balloon Text"/>
    <w:basedOn w:val="Normal"/>
    <w:link w:val="BalloonTextChar"/>
    <w:rsid w:val="0051478F"/>
    <w:rPr>
      <w:rFonts w:ascii="Tahoma" w:hAnsi="Tahoma" w:cs="Tahoma"/>
      <w:sz w:val="16"/>
      <w:szCs w:val="16"/>
    </w:rPr>
  </w:style>
  <w:style w:type="character" w:customStyle="1" w:styleId="BalloonTextChar">
    <w:name w:val="Balloon Text Char"/>
    <w:basedOn w:val="DefaultParagraphFont"/>
    <w:link w:val="BalloonText"/>
    <w:rsid w:val="0051478F"/>
    <w:rPr>
      <w:rFonts w:ascii="Tahoma" w:hAnsi="Tahoma" w:cs="Tahoma"/>
      <w:sz w:val="16"/>
      <w:szCs w:val="16"/>
      <w:lang w:eastAsia="en-US"/>
    </w:rPr>
  </w:style>
  <w:style w:type="character" w:customStyle="1" w:styleId="FooterChar">
    <w:name w:val="Footer Char"/>
    <w:basedOn w:val="DefaultParagraphFont"/>
    <w:link w:val="Footer"/>
    <w:uiPriority w:val="99"/>
    <w:rsid w:val="006A740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ascii="Arial" w:hAnsi="Arial" w:cs="Arial"/>
      <w:b/>
      <w:bCs/>
    </w:rPr>
  </w:style>
  <w:style w:type="paragraph" w:styleId="Heading6">
    <w:name w:val="heading 6"/>
    <w:basedOn w:val="Normal"/>
    <w:next w:val="Normal"/>
    <w:qFormat/>
    <w:pPr>
      <w:keepNext/>
      <w:ind w:left="360"/>
      <w:outlineLvl w:val="5"/>
    </w:pPr>
    <w:rPr>
      <w:rFonts w:ascii="Arial" w:hAnsi="Arial" w:cs="Arial"/>
      <w:b/>
      <w:u w:val="single"/>
    </w:rPr>
  </w:style>
  <w:style w:type="paragraph" w:styleId="Heading7">
    <w:name w:val="heading 7"/>
    <w:basedOn w:val="Normal"/>
    <w:next w:val="Normal"/>
    <w:qFormat/>
    <w:pPr>
      <w:keepNext/>
      <w:ind w:left="360"/>
      <w:jc w:val="both"/>
      <w:outlineLvl w:val="6"/>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sz w:val="32"/>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jc w:val="both"/>
    </w:pPr>
    <w:rPr>
      <w:rFonts w:ascii="Arial" w:hAnsi="Arial" w:cs="Arial"/>
      <w:color w:val="FF0000"/>
    </w:rPr>
  </w:style>
  <w:style w:type="paragraph" w:styleId="BodyText">
    <w:name w:val="Body Text"/>
    <w:basedOn w:val="Normal"/>
    <w:pPr>
      <w:jc w:val="both"/>
    </w:pPr>
    <w:rPr>
      <w:rFonts w:ascii="Arial" w:hAnsi="Arial" w:cs="Arial"/>
      <w:color w:val="FF0000"/>
    </w:rPr>
  </w:style>
  <w:style w:type="paragraph" w:styleId="ListParagraph">
    <w:name w:val="List Paragraph"/>
    <w:basedOn w:val="Normal"/>
    <w:uiPriority w:val="34"/>
    <w:qFormat/>
    <w:rsid w:val="005867F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867F3"/>
    <w:rPr>
      <w:rFonts w:eastAsia="Calibri"/>
      <w:lang w:eastAsia="en-GB"/>
    </w:rPr>
  </w:style>
  <w:style w:type="paragraph" w:styleId="BalloonText">
    <w:name w:val="Balloon Text"/>
    <w:basedOn w:val="Normal"/>
    <w:link w:val="BalloonTextChar"/>
    <w:rsid w:val="0051478F"/>
    <w:rPr>
      <w:rFonts w:ascii="Tahoma" w:hAnsi="Tahoma" w:cs="Tahoma"/>
      <w:sz w:val="16"/>
      <w:szCs w:val="16"/>
    </w:rPr>
  </w:style>
  <w:style w:type="character" w:customStyle="1" w:styleId="BalloonTextChar">
    <w:name w:val="Balloon Text Char"/>
    <w:basedOn w:val="DefaultParagraphFont"/>
    <w:link w:val="BalloonText"/>
    <w:rsid w:val="0051478F"/>
    <w:rPr>
      <w:rFonts w:ascii="Tahoma" w:hAnsi="Tahoma" w:cs="Tahoma"/>
      <w:sz w:val="16"/>
      <w:szCs w:val="16"/>
      <w:lang w:eastAsia="en-US"/>
    </w:rPr>
  </w:style>
  <w:style w:type="character" w:customStyle="1" w:styleId="FooterChar">
    <w:name w:val="Footer Char"/>
    <w:basedOn w:val="DefaultParagraphFont"/>
    <w:link w:val="Footer"/>
    <w:uiPriority w:val="99"/>
    <w:rsid w:val="006A74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gp.org.uk/clinical-and-research/clinical-resources/~/media/Files/CIRC/GPwSI/Dermatology%20and%20skin%20surgery%202011.ash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Local Enhanced Service</vt:lpstr>
    </vt:vector>
  </TitlesOfParts>
  <Company>Doncaster Central PCT</Company>
  <LinksUpToDate>false</LinksUpToDate>
  <CharactersWithSpaces>11748</CharactersWithSpaces>
  <SharedDoc>false</SharedDoc>
  <HLinks>
    <vt:vector size="6" baseType="variant">
      <vt:variant>
        <vt:i4>6881406</vt:i4>
      </vt:variant>
      <vt:variant>
        <vt:i4>0</vt:i4>
      </vt:variant>
      <vt:variant>
        <vt:i4>0</vt:i4>
      </vt:variant>
      <vt:variant>
        <vt:i4>5</vt:i4>
      </vt:variant>
      <vt:variant>
        <vt:lpwstr>http://www.rcgp.org.uk/clinical-and-research/clinical-resources/~/media/Files/CIRC/GPwSI/Dermatology and skin surgery 2011.ashx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dc:title>
  <dc:creator>St Vincent Practice</dc:creator>
  <cp:lastModifiedBy>Wastnage, Kayleigh</cp:lastModifiedBy>
  <cp:revision>4</cp:revision>
  <cp:lastPrinted>2011-07-25T13:56:00Z</cp:lastPrinted>
  <dcterms:created xsi:type="dcterms:W3CDTF">2015-12-08T15:32:00Z</dcterms:created>
  <dcterms:modified xsi:type="dcterms:W3CDTF">2017-01-30T15:15:00Z</dcterms:modified>
</cp:coreProperties>
</file>