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2C" w:rsidRPr="00CF0AE5" w:rsidRDefault="00A11816" w:rsidP="0029372C">
      <w:pPr>
        <w:ind w:left="720" w:firstLine="720"/>
        <w:jc w:val="right"/>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anchorId="6F8DCB0E" wp14:editId="2DB3D4FE">
            <wp:simplePos x="0" y="0"/>
            <wp:positionH relativeFrom="column">
              <wp:posOffset>4328160</wp:posOffset>
            </wp:positionH>
            <wp:positionV relativeFrom="paragraph">
              <wp:posOffset>-715010</wp:posOffset>
            </wp:positionV>
            <wp:extent cx="2438400"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29372C" w:rsidRPr="00CF0AE5" w:rsidRDefault="0029372C" w:rsidP="0029372C">
      <w:pPr>
        <w:ind w:left="720" w:firstLine="720"/>
        <w:jc w:val="center"/>
        <w:rPr>
          <w:rFonts w:ascii="Arial" w:hAnsi="Arial" w:cs="Arial"/>
          <w:b/>
        </w:rPr>
      </w:pPr>
    </w:p>
    <w:p w:rsidR="0029372C" w:rsidRPr="00CF0AE5" w:rsidRDefault="0029372C" w:rsidP="0029372C">
      <w:pPr>
        <w:jc w:val="center"/>
        <w:rPr>
          <w:rFonts w:ascii="Arial" w:hAnsi="Arial" w:cs="Arial"/>
          <w:b/>
        </w:rPr>
      </w:pPr>
      <w:r w:rsidRPr="00CF0AE5">
        <w:rPr>
          <w:rFonts w:ascii="Arial" w:hAnsi="Arial" w:cs="Arial"/>
          <w:b/>
        </w:rPr>
        <w:t>Service Specification for Vaccination against Hepatitis B</w:t>
      </w:r>
    </w:p>
    <w:p w:rsidR="0029372C" w:rsidRPr="00CF0AE5" w:rsidRDefault="0029372C" w:rsidP="0029372C">
      <w:pPr>
        <w:jc w:val="center"/>
        <w:rPr>
          <w:rFonts w:ascii="Arial" w:hAnsi="Arial" w:cs="Arial"/>
          <w:b/>
        </w:rPr>
      </w:pPr>
    </w:p>
    <w:p w:rsidR="0029372C" w:rsidRPr="00CF0AE5" w:rsidRDefault="0029372C" w:rsidP="0029372C">
      <w:pPr>
        <w:jc w:val="center"/>
        <w:rPr>
          <w:rFonts w:ascii="Arial" w:hAnsi="Arial" w:cs="Arial"/>
          <w:b/>
        </w:rPr>
      </w:pPr>
      <w:r w:rsidRPr="00CF0AE5">
        <w:rPr>
          <w:rFonts w:ascii="Arial" w:hAnsi="Arial" w:cs="Arial"/>
          <w:b/>
        </w:rPr>
        <w:t>Period: 1</w:t>
      </w:r>
      <w:r w:rsidRPr="00CF0AE5">
        <w:rPr>
          <w:rFonts w:ascii="Arial" w:hAnsi="Arial" w:cs="Arial"/>
          <w:b/>
          <w:vertAlign w:val="superscript"/>
        </w:rPr>
        <w:t>st</w:t>
      </w:r>
      <w:r w:rsidR="00DA21C6">
        <w:rPr>
          <w:rFonts w:ascii="Arial" w:hAnsi="Arial" w:cs="Arial"/>
          <w:b/>
        </w:rPr>
        <w:t xml:space="preserve"> April 201</w:t>
      </w:r>
      <w:r w:rsidR="003F674F">
        <w:rPr>
          <w:rFonts w:ascii="Arial" w:hAnsi="Arial" w:cs="Arial"/>
          <w:b/>
        </w:rPr>
        <w:t>7</w:t>
      </w:r>
      <w:r w:rsidRPr="00CF0AE5">
        <w:rPr>
          <w:rFonts w:ascii="Arial" w:hAnsi="Arial" w:cs="Arial"/>
          <w:b/>
        </w:rPr>
        <w:t xml:space="preserve"> to 31</w:t>
      </w:r>
      <w:r w:rsidRPr="00CF0AE5">
        <w:rPr>
          <w:rFonts w:ascii="Arial" w:hAnsi="Arial" w:cs="Arial"/>
          <w:b/>
          <w:vertAlign w:val="superscript"/>
        </w:rPr>
        <w:t>st</w:t>
      </w:r>
      <w:r w:rsidR="003F674F">
        <w:rPr>
          <w:rFonts w:ascii="Arial" w:hAnsi="Arial" w:cs="Arial"/>
          <w:b/>
        </w:rPr>
        <w:t xml:space="preserve"> March 2018</w:t>
      </w:r>
    </w:p>
    <w:p w:rsidR="0029372C" w:rsidRPr="00CF0AE5" w:rsidRDefault="0029372C" w:rsidP="0029372C">
      <w:pPr>
        <w:jc w:val="center"/>
        <w:rPr>
          <w:rFonts w:ascii="Arial" w:hAnsi="Arial" w:cs="Arial"/>
          <w:b/>
        </w:rPr>
      </w:pPr>
      <w:r w:rsidRPr="00CF0AE5">
        <w:rPr>
          <w:rFonts w:ascii="Arial" w:hAnsi="Arial" w:cs="Arial"/>
          <w:b/>
        </w:rPr>
        <w:t>Date of Review: Annual</w:t>
      </w:r>
    </w:p>
    <w:p w:rsidR="00097008" w:rsidRPr="00CF0AE5" w:rsidRDefault="00097008">
      <w:pPr>
        <w:jc w:val="center"/>
        <w:rPr>
          <w:rFonts w:ascii="Arial" w:hAnsi="Arial" w:cs="Arial"/>
        </w:rPr>
      </w:pPr>
    </w:p>
    <w:p w:rsidR="00097008" w:rsidRPr="00CF0AE5" w:rsidRDefault="00097008">
      <w:pPr>
        <w:jc w:val="center"/>
        <w:rPr>
          <w:rFonts w:ascii="Arial" w:hAnsi="Arial" w:cs="Arial"/>
        </w:rPr>
      </w:pPr>
    </w:p>
    <w:p w:rsidR="00A10B3F" w:rsidRPr="00A10B3F" w:rsidRDefault="00A10B3F" w:rsidP="00A10B3F">
      <w:pPr>
        <w:rPr>
          <w:rFonts w:ascii="Arial" w:hAnsi="Arial" w:cs="Arial"/>
          <w:b/>
          <w:bCs/>
        </w:rPr>
      </w:pPr>
      <w:r w:rsidRPr="00A10B3F">
        <w:rPr>
          <w:rFonts w:ascii="Arial" w:hAnsi="Arial" w:cs="Arial"/>
          <w:b/>
          <w:bCs/>
        </w:rPr>
        <w:t>Introduction</w:t>
      </w:r>
    </w:p>
    <w:p w:rsidR="00A10B3F" w:rsidRPr="00A10B3F" w:rsidRDefault="00A10B3F" w:rsidP="00A10B3F">
      <w:pPr>
        <w:rPr>
          <w:rFonts w:ascii="Arial" w:hAnsi="Arial" w:cs="Arial"/>
          <w:b/>
          <w:bCs/>
        </w:rPr>
      </w:pPr>
    </w:p>
    <w:p w:rsidR="00A10B3F" w:rsidRPr="00A10B3F" w:rsidRDefault="00A10B3F" w:rsidP="00A10B3F">
      <w:pPr>
        <w:rPr>
          <w:rFonts w:ascii="Arial" w:hAnsi="Arial" w:cs="Arial"/>
        </w:rPr>
      </w:pPr>
      <w:r w:rsidRPr="00A10B3F">
        <w:rPr>
          <w:rFonts w:ascii="Arial" w:hAnsi="Arial" w:cs="Arial"/>
        </w:rPr>
        <w:t xml:space="preserve">All practices are expected to provide essential and those additional services they are contracted to provide to all their patients.  </w:t>
      </w:r>
    </w:p>
    <w:p w:rsidR="00A10B3F" w:rsidRPr="00A10B3F" w:rsidRDefault="00A10B3F" w:rsidP="00A10B3F">
      <w:pPr>
        <w:rPr>
          <w:rFonts w:ascii="Arial" w:hAnsi="Arial" w:cs="Arial"/>
        </w:rPr>
      </w:pPr>
    </w:p>
    <w:p w:rsidR="00A10B3F" w:rsidRPr="00A10B3F" w:rsidRDefault="00A10B3F" w:rsidP="00A10B3F">
      <w:pPr>
        <w:rPr>
          <w:rFonts w:ascii="Arial" w:hAnsi="Arial" w:cs="Arial"/>
        </w:rPr>
      </w:pPr>
      <w:r w:rsidRPr="00A10B3F">
        <w:rPr>
          <w:rFonts w:ascii="Arial" w:hAnsi="Arial" w:cs="Arial"/>
        </w:rPr>
        <w:t xml:space="preserve">This specification outlines the more specialised services to be provided.  The specification of this service is designed to cover the enhanced aspects of clinical care of the patient, all of which are beyond the scope of essential services.  </w:t>
      </w:r>
    </w:p>
    <w:p w:rsidR="00A10B3F" w:rsidRPr="00A10B3F" w:rsidRDefault="00A10B3F" w:rsidP="00A10B3F">
      <w:pPr>
        <w:rPr>
          <w:rFonts w:ascii="Arial" w:hAnsi="Arial" w:cs="Arial"/>
        </w:rPr>
      </w:pPr>
    </w:p>
    <w:p w:rsidR="00A10B3F" w:rsidRPr="00A10B3F" w:rsidRDefault="00A10B3F" w:rsidP="00A10B3F">
      <w:pPr>
        <w:rPr>
          <w:rFonts w:ascii="Arial" w:hAnsi="Arial" w:cs="Arial"/>
        </w:rPr>
      </w:pPr>
      <w:r w:rsidRPr="00A10B3F">
        <w:rPr>
          <w:rFonts w:ascii="Arial" w:hAnsi="Arial" w:cs="Arial"/>
        </w:rPr>
        <w:t>No part of the specification by commission, omission or implication defines or redefines essential or additional services.</w:t>
      </w:r>
    </w:p>
    <w:p w:rsidR="00097008" w:rsidRPr="00CF0AE5" w:rsidRDefault="00097008">
      <w:pPr>
        <w:pStyle w:val="BodyTextIndent"/>
        <w:ind w:left="0" w:firstLine="0"/>
        <w:jc w:val="both"/>
        <w:rPr>
          <w:b/>
        </w:rPr>
      </w:pPr>
    </w:p>
    <w:p w:rsidR="00097008" w:rsidRPr="00CF0AE5" w:rsidRDefault="00097008">
      <w:pPr>
        <w:pStyle w:val="Heading2"/>
        <w:jc w:val="both"/>
        <w:rPr>
          <w:b/>
          <w:sz w:val="24"/>
        </w:rPr>
      </w:pPr>
      <w:r w:rsidRPr="00CF0AE5">
        <w:rPr>
          <w:b/>
          <w:sz w:val="24"/>
        </w:rPr>
        <w:t>Background</w:t>
      </w:r>
    </w:p>
    <w:p w:rsidR="00097008" w:rsidRPr="00CF0AE5" w:rsidRDefault="00097008">
      <w:pPr>
        <w:ind w:left="360" w:hanging="360"/>
        <w:jc w:val="both"/>
        <w:rPr>
          <w:rFonts w:ascii="Arial" w:hAnsi="Arial" w:cs="Arial"/>
        </w:rPr>
      </w:pPr>
    </w:p>
    <w:p w:rsidR="00097008" w:rsidRPr="00CF0AE5" w:rsidRDefault="00DA21C6" w:rsidP="00CF0AE5">
      <w:pPr>
        <w:pStyle w:val="BodyTextIndent"/>
        <w:ind w:left="0" w:firstLine="0"/>
        <w:jc w:val="both"/>
        <w:rPr>
          <w:rFonts w:ascii="Arial" w:hAnsi="Arial" w:cs="Arial"/>
        </w:rPr>
      </w:pPr>
      <w:r>
        <w:rPr>
          <w:rFonts w:ascii="Arial" w:hAnsi="Arial" w:cs="Arial"/>
        </w:rPr>
        <w:t xml:space="preserve">Hepatitis B is a potentially life-threatening liver infection caused by the hepatitis B virus. </w:t>
      </w:r>
      <w:r w:rsidR="001D598C">
        <w:rPr>
          <w:rFonts w:ascii="Arial" w:hAnsi="Arial" w:cs="Arial"/>
        </w:rPr>
        <w:t>Hepatitis B has significant m</w:t>
      </w:r>
      <w:r w:rsidR="00097008" w:rsidRPr="00CF0AE5">
        <w:rPr>
          <w:rFonts w:ascii="Arial" w:hAnsi="Arial" w:cs="Arial"/>
        </w:rPr>
        <w:t xml:space="preserve">orbidity as a consequence of </w:t>
      </w:r>
      <w:r w:rsidR="0029372C" w:rsidRPr="00CF0AE5">
        <w:rPr>
          <w:rFonts w:ascii="Arial" w:hAnsi="Arial" w:cs="Arial"/>
        </w:rPr>
        <w:t xml:space="preserve">its transmission to both </w:t>
      </w:r>
      <w:r w:rsidR="001D598C" w:rsidRPr="00CF0AE5">
        <w:rPr>
          <w:rFonts w:ascii="Arial" w:hAnsi="Arial" w:cs="Arial"/>
        </w:rPr>
        <w:t>health</w:t>
      </w:r>
      <w:r w:rsidR="001D598C">
        <w:rPr>
          <w:rFonts w:ascii="Arial" w:hAnsi="Arial" w:cs="Arial"/>
        </w:rPr>
        <w:t xml:space="preserve"> </w:t>
      </w:r>
      <w:r w:rsidR="00097008" w:rsidRPr="00CF0AE5">
        <w:rPr>
          <w:rFonts w:ascii="Arial" w:hAnsi="Arial" w:cs="Arial"/>
        </w:rPr>
        <w:t>professionals and the population in general. This spread is usu</w:t>
      </w:r>
      <w:r w:rsidR="00CF0AE5">
        <w:rPr>
          <w:rFonts w:ascii="Arial" w:hAnsi="Arial" w:cs="Arial"/>
        </w:rPr>
        <w:t xml:space="preserve">ally blood borne as a result </w:t>
      </w:r>
      <w:r w:rsidR="0029372C" w:rsidRPr="00CF0AE5">
        <w:rPr>
          <w:rFonts w:ascii="Arial" w:hAnsi="Arial" w:cs="Arial"/>
        </w:rPr>
        <w:t>of</w:t>
      </w:r>
      <w:r w:rsidR="00CF0AE5">
        <w:rPr>
          <w:rFonts w:ascii="Arial" w:hAnsi="Arial" w:cs="Arial"/>
        </w:rPr>
        <w:t xml:space="preserve"> </w:t>
      </w:r>
      <w:r w:rsidR="00097008" w:rsidRPr="00CF0AE5">
        <w:rPr>
          <w:rFonts w:ascii="Arial" w:hAnsi="Arial" w:cs="Arial"/>
        </w:rPr>
        <w:t>accidental injury or malicious acts of others or a lifestyle considered to be ‘high risk’.</w:t>
      </w:r>
      <w:r w:rsidR="001D598C">
        <w:rPr>
          <w:rFonts w:ascii="Arial" w:hAnsi="Arial" w:cs="Arial"/>
        </w:rPr>
        <w:t xml:space="preserve"> The prevalence of Hepatitis B varies across the UK, as at January 2016 there have been 13 Hepatitis B incident notifications received by Public Health England. </w:t>
      </w:r>
    </w:p>
    <w:p w:rsidR="00097008" w:rsidRPr="00CF0AE5" w:rsidRDefault="00097008">
      <w:pPr>
        <w:ind w:left="360" w:hanging="360"/>
        <w:jc w:val="both"/>
        <w:rPr>
          <w:rFonts w:ascii="Arial" w:hAnsi="Arial" w:cs="Arial"/>
        </w:rPr>
      </w:pPr>
    </w:p>
    <w:p w:rsidR="004E2329" w:rsidRDefault="00097008" w:rsidP="002E6EB1">
      <w:pPr>
        <w:rPr>
          <w:rFonts w:ascii="Arial" w:hAnsi="Arial" w:cs="Arial"/>
        </w:rPr>
      </w:pPr>
      <w:r w:rsidRPr="00CF0AE5">
        <w:rPr>
          <w:rFonts w:ascii="Arial" w:hAnsi="Arial" w:cs="Arial"/>
        </w:rPr>
        <w:t>It is accepted that certain specific groups should be offered Hepatitis B vaccination and these specific groups are notified in Chapter 18 of the ‘green book’ ‘</w:t>
      </w:r>
      <w:r w:rsidR="004E2329">
        <w:rPr>
          <w:rFonts w:ascii="Arial" w:hAnsi="Arial" w:cs="Arial"/>
        </w:rPr>
        <w:t>Immunisation against infectious disease’ DOH 2006 page 168 or at:</w:t>
      </w:r>
    </w:p>
    <w:p w:rsidR="004E2329" w:rsidRDefault="004E2329" w:rsidP="0029372C">
      <w:pPr>
        <w:jc w:val="both"/>
        <w:rPr>
          <w:rFonts w:ascii="Arial" w:hAnsi="Arial" w:cs="Arial"/>
        </w:rPr>
      </w:pPr>
    </w:p>
    <w:p w:rsidR="00097008" w:rsidRPr="00CF0AE5" w:rsidRDefault="00A11816" w:rsidP="002E6EB1">
      <w:pPr>
        <w:rPr>
          <w:rFonts w:ascii="Arial" w:hAnsi="Arial" w:cs="Arial"/>
        </w:rPr>
      </w:pPr>
      <w:hyperlink r:id="rId9" w:history="1">
        <w:r w:rsidR="004E2329" w:rsidRPr="00DA6647">
          <w:rPr>
            <w:rStyle w:val="Hyperlink"/>
            <w:rFonts w:ascii="Arial" w:hAnsi="Arial" w:cs="Arial"/>
          </w:rPr>
          <w:t>https://www.gov.uk/government/collections/immunisation-against-infectious-disease-the-green-book</w:t>
        </w:r>
      </w:hyperlink>
      <w:r w:rsidR="004E2329">
        <w:rPr>
          <w:rFonts w:ascii="Arial" w:hAnsi="Arial" w:cs="Arial"/>
        </w:rPr>
        <w:t xml:space="preserve"> </w:t>
      </w:r>
    </w:p>
    <w:p w:rsidR="00097008" w:rsidRPr="00CF0AE5" w:rsidRDefault="00097008">
      <w:pPr>
        <w:ind w:left="360"/>
        <w:rPr>
          <w:rFonts w:ascii="Arial" w:hAnsi="Arial" w:cs="Arial"/>
        </w:rPr>
      </w:pPr>
    </w:p>
    <w:p w:rsidR="00097008" w:rsidRPr="00CF0AE5" w:rsidRDefault="00097008" w:rsidP="002E6EB1">
      <w:pPr>
        <w:rPr>
          <w:rFonts w:ascii="Arial" w:hAnsi="Arial" w:cs="Arial"/>
        </w:rPr>
      </w:pPr>
      <w:r w:rsidRPr="00CF0AE5">
        <w:rPr>
          <w:rFonts w:ascii="Arial" w:hAnsi="Arial" w:cs="Arial"/>
        </w:rPr>
        <w:t xml:space="preserve">GP practices did not receive reimbursement under the old </w:t>
      </w:r>
      <w:r w:rsidR="0029372C" w:rsidRPr="00CF0AE5">
        <w:rPr>
          <w:rFonts w:ascii="Arial" w:hAnsi="Arial" w:cs="Arial"/>
        </w:rPr>
        <w:t xml:space="preserve">"Red Book" arrangements for the </w:t>
      </w:r>
      <w:r w:rsidRPr="00CF0AE5">
        <w:rPr>
          <w:rFonts w:ascii="Arial" w:hAnsi="Arial" w:cs="Arial"/>
        </w:rPr>
        <w:t xml:space="preserve">administration of Hepatitis B vaccination to at risk patients or those travelling abroad. This </w:t>
      </w:r>
      <w:r w:rsidR="00F14664">
        <w:rPr>
          <w:rFonts w:ascii="Arial" w:hAnsi="Arial" w:cs="Arial"/>
        </w:rPr>
        <w:t>specification</w:t>
      </w:r>
      <w:r w:rsidRPr="00CF0AE5">
        <w:rPr>
          <w:rFonts w:ascii="Arial" w:hAnsi="Arial" w:cs="Arial"/>
        </w:rPr>
        <w:t xml:space="preserve"> enables practices to claim reimbursement for the administration of Hepatitis B vaccination to those patients who are covered under "Green Book" - Immunisation against infectious diseases 2006 and the recomme</w:t>
      </w:r>
      <w:r w:rsidR="004E2329">
        <w:rPr>
          <w:rFonts w:ascii="Arial" w:hAnsi="Arial" w:cs="Arial"/>
        </w:rPr>
        <w:t>ndations for use of the vaccine.</w:t>
      </w:r>
    </w:p>
    <w:p w:rsidR="00097008" w:rsidRPr="00CF0AE5" w:rsidRDefault="00097008">
      <w:pPr>
        <w:jc w:val="both"/>
        <w:rPr>
          <w:rFonts w:ascii="Arial" w:hAnsi="Arial" w:cs="Arial"/>
        </w:rPr>
      </w:pPr>
    </w:p>
    <w:p w:rsidR="00097008" w:rsidRPr="00CF0AE5" w:rsidRDefault="00097008">
      <w:pPr>
        <w:pStyle w:val="Heading1"/>
        <w:jc w:val="both"/>
        <w:rPr>
          <w:b/>
          <w:sz w:val="24"/>
        </w:rPr>
      </w:pPr>
      <w:r w:rsidRPr="00CF0AE5">
        <w:rPr>
          <w:b/>
          <w:sz w:val="24"/>
        </w:rPr>
        <w:t>Service Outline</w:t>
      </w:r>
    </w:p>
    <w:p w:rsidR="00097008" w:rsidRPr="00CF0AE5" w:rsidRDefault="00097008">
      <w:pPr>
        <w:jc w:val="both"/>
        <w:rPr>
          <w:rFonts w:ascii="Arial" w:hAnsi="Arial" w:cs="Arial"/>
        </w:rPr>
      </w:pPr>
    </w:p>
    <w:p w:rsidR="00097008" w:rsidRPr="00CF0AE5" w:rsidRDefault="00097008" w:rsidP="002E6EB1">
      <w:pPr>
        <w:pStyle w:val="BodyTextIndent2"/>
        <w:ind w:left="0"/>
      </w:pPr>
      <w:r w:rsidRPr="00CF0AE5">
        <w:t xml:space="preserve">This </w:t>
      </w:r>
      <w:r w:rsidR="00F14664">
        <w:t>specification</w:t>
      </w:r>
      <w:r w:rsidRPr="00CF0AE5">
        <w:t xml:space="preserve"> is intended to provide within primary care, the facility to vaccinate registered patients against Hepatitis B where appropriate.</w:t>
      </w:r>
    </w:p>
    <w:p w:rsidR="00097008" w:rsidRPr="00CF0AE5" w:rsidRDefault="00097008">
      <w:pPr>
        <w:pStyle w:val="BodyTextIndent2"/>
        <w:ind w:left="0"/>
        <w:jc w:val="both"/>
      </w:pPr>
    </w:p>
    <w:p w:rsidR="00097008" w:rsidRPr="00CF0AE5" w:rsidRDefault="00097008" w:rsidP="002E6EB1">
      <w:pPr>
        <w:pStyle w:val="BodyTextIndent2"/>
        <w:ind w:left="0"/>
      </w:pPr>
      <w:r w:rsidRPr="00CF0AE5">
        <w:t xml:space="preserve">No patients receive vaccination within essential or additional services and no such </w:t>
      </w:r>
      <w:r w:rsidR="004E2329" w:rsidRPr="00CF0AE5">
        <w:t>payments were</w:t>
      </w:r>
      <w:r w:rsidRPr="00CF0AE5">
        <w:t xml:space="preserve"> transferred from the statement of fees and allowances.</w:t>
      </w:r>
    </w:p>
    <w:p w:rsidR="00097008" w:rsidRPr="00CF0AE5" w:rsidRDefault="00097008">
      <w:pPr>
        <w:pStyle w:val="BodyTextIndent2"/>
        <w:ind w:left="0"/>
        <w:jc w:val="both"/>
      </w:pPr>
    </w:p>
    <w:p w:rsidR="00097008" w:rsidRPr="00CF0AE5" w:rsidRDefault="00097008" w:rsidP="002E6EB1">
      <w:pPr>
        <w:rPr>
          <w:rFonts w:ascii="Arial" w:hAnsi="Arial" w:cs="Arial"/>
        </w:rPr>
      </w:pPr>
      <w:r w:rsidRPr="00CF0AE5">
        <w:rPr>
          <w:rFonts w:ascii="Arial" w:hAnsi="Arial" w:cs="Arial"/>
        </w:rPr>
        <w:lastRenderedPageBreak/>
        <w:t>Practices will offer patients a course of vaccination</w:t>
      </w:r>
      <w:r w:rsidR="001D598C">
        <w:rPr>
          <w:rFonts w:ascii="Arial" w:hAnsi="Arial" w:cs="Arial"/>
        </w:rPr>
        <w:t>,</w:t>
      </w:r>
      <w:r w:rsidRPr="00CF0AE5">
        <w:rPr>
          <w:rFonts w:ascii="Arial" w:hAnsi="Arial" w:cs="Arial"/>
        </w:rPr>
        <w:t xml:space="preserve"> post vaccination testing and any subsequent recommended vaccination to achieve immunity</w:t>
      </w:r>
    </w:p>
    <w:p w:rsidR="00097008" w:rsidRPr="00CF0AE5" w:rsidRDefault="00097008" w:rsidP="004E2329">
      <w:pPr>
        <w:pStyle w:val="BodyTextIndent"/>
        <w:ind w:left="0" w:firstLine="0"/>
        <w:jc w:val="both"/>
        <w:rPr>
          <w:rFonts w:ascii="Arial" w:hAnsi="Arial" w:cs="Arial"/>
        </w:rPr>
      </w:pPr>
    </w:p>
    <w:p w:rsidR="00097008" w:rsidRPr="00CF0AE5" w:rsidRDefault="00097008" w:rsidP="002E6EB1">
      <w:pPr>
        <w:pStyle w:val="BodyTextIndent"/>
        <w:ind w:left="0" w:firstLine="0"/>
        <w:rPr>
          <w:rFonts w:ascii="Arial" w:hAnsi="Arial" w:cs="Arial"/>
        </w:rPr>
      </w:pPr>
      <w:r w:rsidRPr="00CF0AE5">
        <w:rPr>
          <w:rFonts w:ascii="Arial" w:hAnsi="Arial" w:cs="Arial"/>
        </w:rPr>
        <w:t>Any procedure carried out under thi</w:t>
      </w:r>
      <w:r w:rsidR="00A10B3F">
        <w:rPr>
          <w:rFonts w:ascii="Arial" w:hAnsi="Arial" w:cs="Arial"/>
        </w:rPr>
        <w:t>s service specification</w:t>
      </w:r>
      <w:r w:rsidRPr="00CF0AE5">
        <w:rPr>
          <w:rFonts w:ascii="Arial" w:hAnsi="Arial" w:cs="Arial"/>
        </w:rPr>
        <w:t xml:space="preserve"> will be recorded in the patie</w:t>
      </w:r>
      <w:r w:rsidR="0029372C" w:rsidRPr="00CF0AE5">
        <w:rPr>
          <w:rFonts w:ascii="Arial" w:hAnsi="Arial" w:cs="Arial"/>
        </w:rPr>
        <w:t xml:space="preserve">nt Record using approved </w:t>
      </w:r>
      <w:r w:rsidRPr="00CF0AE5">
        <w:rPr>
          <w:rFonts w:ascii="Arial" w:hAnsi="Arial" w:cs="Arial"/>
        </w:rPr>
        <w:t xml:space="preserve">READ codes </w:t>
      </w:r>
    </w:p>
    <w:p w:rsidR="00097008" w:rsidRPr="00CF0AE5" w:rsidRDefault="00097008">
      <w:pPr>
        <w:pStyle w:val="BodyTextIndent"/>
        <w:jc w:val="both"/>
        <w:rPr>
          <w:rFonts w:ascii="Arial" w:hAnsi="Arial" w:cs="Arial"/>
        </w:rPr>
      </w:pPr>
    </w:p>
    <w:p w:rsidR="00097008" w:rsidRPr="00CF0AE5" w:rsidRDefault="00A10B3F" w:rsidP="002E6EB1">
      <w:pPr>
        <w:pStyle w:val="BodyTextIndent"/>
        <w:ind w:left="0" w:firstLine="0"/>
        <w:rPr>
          <w:rFonts w:ascii="Arial" w:hAnsi="Arial" w:cs="Arial"/>
        </w:rPr>
      </w:pPr>
      <w:r>
        <w:rPr>
          <w:rFonts w:ascii="Arial" w:hAnsi="Arial" w:cs="Arial"/>
        </w:rPr>
        <w:t>The CCG in agreeing to this service</w:t>
      </w:r>
      <w:r w:rsidR="00097008" w:rsidRPr="00CF0AE5">
        <w:rPr>
          <w:rFonts w:ascii="Arial" w:hAnsi="Arial" w:cs="Arial"/>
        </w:rPr>
        <w:t xml:space="preserve"> in no way commit themselve</w:t>
      </w:r>
      <w:r w:rsidR="0029372C" w:rsidRPr="00CF0AE5">
        <w:rPr>
          <w:rFonts w:ascii="Arial" w:hAnsi="Arial" w:cs="Arial"/>
        </w:rPr>
        <w:t xml:space="preserve">s to the capital expenditure or </w:t>
      </w:r>
      <w:r w:rsidR="00097008" w:rsidRPr="00CF0AE5">
        <w:rPr>
          <w:rFonts w:ascii="Arial" w:hAnsi="Arial" w:cs="Arial"/>
        </w:rPr>
        <w:t>revenue consequences of the equipment necessary for particula</w:t>
      </w:r>
      <w:r>
        <w:rPr>
          <w:rFonts w:ascii="Arial" w:hAnsi="Arial" w:cs="Arial"/>
        </w:rPr>
        <w:t>r procedures covered by this specification.</w:t>
      </w:r>
    </w:p>
    <w:p w:rsidR="00097008" w:rsidRPr="00CF0AE5" w:rsidRDefault="00097008">
      <w:pPr>
        <w:ind w:left="360" w:hanging="360"/>
        <w:jc w:val="both"/>
        <w:rPr>
          <w:rFonts w:ascii="Arial" w:hAnsi="Arial" w:cs="Arial"/>
        </w:rPr>
      </w:pPr>
    </w:p>
    <w:p w:rsidR="00097008" w:rsidRPr="00CF0AE5" w:rsidRDefault="00097008" w:rsidP="002E6EB1">
      <w:pPr>
        <w:rPr>
          <w:rFonts w:ascii="Arial" w:hAnsi="Arial" w:cs="Arial"/>
        </w:rPr>
      </w:pPr>
      <w:r w:rsidRPr="00CF0AE5">
        <w:rPr>
          <w:rFonts w:ascii="Arial" w:hAnsi="Arial" w:cs="Arial"/>
        </w:rPr>
        <w:t xml:space="preserve">The provision of drugs or testing are not within the scope of this </w:t>
      </w:r>
      <w:r w:rsidR="00A10B3F">
        <w:rPr>
          <w:rFonts w:ascii="Arial" w:hAnsi="Arial" w:cs="Arial"/>
        </w:rPr>
        <w:t>service</w:t>
      </w:r>
      <w:r w:rsidR="0029372C" w:rsidRPr="00CF0AE5">
        <w:rPr>
          <w:rFonts w:ascii="Arial" w:hAnsi="Arial" w:cs="Arial"/>
        </w:rPr>
        <w:t xml:space="preserve"> but will be funded separately </w:t>
      </w:r>
      <w:r w:rsidR="00A10B3F">
        <w:rPr>
          <w:rFonts w:ascii="Arial" w:hAnsi="Arial" w:cs="Arial"/>
        </w:rPr>
        <w:t>by the CCG</w:t>
      </w:r>
      <w:r w:rsidRPr="00CF0AE5">
        <w:rPr>
          <w:rFonts w:ascii="Arial" w:hAnsi="Arial" w:cs="Arial"/>
        </w:rPr>
        <w:t>, through drug budgets (via dispensed FP10 prescription or direct claim from the PPA for practice purchased Hep B Vaccine) and secondary care contracts.</w:t>
      </w:r>
    </w:p>
    <w:p w:rsidR="00097008" w:rsidRPr="00CF0AE5" w:rsidRDefault="00097008">
      <w:pPr>
        <w:ind w:left="360" w:hanging="360"/>
        <w:jc w:val="both"/>
        <w:rPr>
          <w:rFonts w:ascii="Arial" w:hAnsi="Arial" w:cs="Arial"/>
        </w:rPr>
      </w:pPr>
    </w:p>
    <w:p w:rsidR="00097008" w:rsidRPr="00CF0AE5" w:rsidRDefault="00097008">
      <w:pPr>
        <w:pStyle w:val="Heading1"/>
        <w:jc w:val="both"/>
        <w:rPr>
          <w:b/>
          <w:sz w:val="24"/>
        </w:rPr>
      </w:pPr>
      <w:r w:rsidRPr="00CF0AE5">
        <w:rPr>
          <w:b/>
          <w:sz w:val="24"/>
        </w:rPr>
        <w:t>Accreditation</w:t>
      </w:r>
    </w:p>
    <w:p w:rsidR="00097008" w:rsidRPr="00CF0AE5" w:rsidRDefault="00097008">
      <w:pPr>
        <w:jc w:val="both"/>
        <w:rPr>
          <w:rFonts w:ascii="Arial" w:hAnsi="Arial" w:cs="Arial"/>
        </w:rPr>
      </w:pPr>
    </w:p>
    <w:p w:rsidR="00097008" w:rsidRPr="00CF0AE5" w:rsidRDefault="0029372C" w:rsidP="002E6EB1">
      <w:pPr>
        <w:pStyle w:val="BodyTextIndent"/>
        <w:ind w:left="0"/>
        <w:rPr>
          <w:rFonts w:ascii="Arial" w:hAnsi="Arial" w:cs="Arial"/>
        </w:rPr>
      </w:pPr>
      <w:r w:rsidRPr="00CF0AE5">
        <w:rPr>
          <w:rFonts w:ascii="Arial" w:hAnsi="Arial" w:cs="Arial"/>
        </w:rPr>
        <w:t xml:space="preserve">     </w:t>
      </w:r>
      <w:bookmarkStart w:id="0" w:name="_GoBack"/>
      <w:bookmarkEnd w:id="0"/>
      <w:r w:rsidR="00097008" w:rsidRPr="00CF0AE5">
        <w:rPr>
          <w:rFonts w:ascii="Arial" w:hAnsi="Arial" w:cs="Arial"/>
        </w:rPr>
        <w:t>Staff involved in the delivery of this service will be appropriate</w:t>
      </w:r>
      <w:r w:rsidRPr="00CF0AE5">
        <w:rPr>
          <w:rFonts w:ascii="Arial" w:hAnsi="Arial" w:cs="Arial"/>
        </w:rPr>
        <w:t xml:space="preserve">ly trained and competent in the </w:t>
      </w:r>
      <w:r w:rsidR="00097008" w:rsidRPr="00CF0AE5">
        <w:rPr>
          <w:rFonts w:ascii="Arial" w:hAnsi="Arial" w:cs="Arial"/>
        </w:rPr>
        <w:t>provision of the services offered.</w:t>
      </w:r>
    </w:p>
    <w:p w:rsidR="00097008" w:rsidRPr="00CF0AE5" w:rsidRDefault="00097008">
      <w:pPr>
        <w:pStyle w:val="BodyTextIndent"/>
        <w:jc w:val="both"/>
        <w:rPr>
          <w:rFonts w:ascii="Arial" w:hAnsi="Arial" w:cs="Arial"/>
        </w:rPr>
      </w:pPr>
    </w:p>
    <w:p w:rsidR="00097008" w:rsidRPr="00CF0AE5" w:rsidRDefault="00097008" w:rsidP="002E6EB1">
      <w:pPr>
        <w:pStyle w:val="BodyTextIndent"/>
        <w:rPr>
          <w:rFonts w:ascii="Arial" w:hAnsi="Arial" w:cs="Arial"/>
        </w:rPr>
      </w:pPr>
      <w:r w:rsidRPr="00CF0AE5">
        <w:rPr>
          <w:rFonts w:ascii="Arial" w:hAnsi="Arial" w:cs="Arial"/>
        </w:rPr>
        <w:t xml:space="preserve">The services delivered </w:t>
      </w:r>
      <w:r w:rsidR="00A10B3F">
        <w:rPr>
          <w:rFonts w:ascii="Arial" w:hAnsi="Arial" w:cs="Arial"/>
        </w:rPr>
        <w:t>under this service specification</w:t>
      </w:r>
      <w:r w:rsidRPr="00CF0AE5">
        <w:rPr>
          <w:rFonts w:ascii="Arial" w:hAnsi="Arial" w:cs="Arial"/>
        </w:rPr>
        <w:t xml:space="preserve"> will be subject to clinical audit.</w:t>
      </w:r>
    </w:p>
    <w:p w:rsidR="001F3454" w:rsidRPr="00CF0AE5" w:rsidRDefault="001F3454" w:rsidP="0029372C">
      <w:pPr>
        <w:pStyle w:val="BodyTextIndent"/>
        <w:ind w:left="0" w:firstLine="0"/>
        <w:jc w:val="both"/>
        <w:rPr>
          <w:rFonts w:ascii="Arial" w:hAnsi="Arial" w:cs="Arial"/>
        </w:rPr>
      </w:pPr>
    </w:p>
    <w:p w:rsidR="00A10B3F" w:rsidRPr="00A10B3F" w:rsidRDefault="00A10B3F" w:rsidP="00A10B3F">
      <w:pPr>
        <w:rPr>
          <w:rFonts w:ascii="Arial" w:hAnsi="Arial" w:cs="Arial"/>
          <w:b/>
        </w:rPr>
      </w:pPr>
      <w:r w:rsidRPr="00A10B3F">
        <w:rPr>
          <w:rFonts w:ascii="Arial" w:hAnsi="Arial" w:cs="Arial"/>
          <w:b/>
        </w:rPr>
        <w:t>Performance and Payment</w:t>
      </w:r>
    </w:p>
    <w:p w:rsidR="00A10B3F" w:rsidRPr="00A10B3F" w:rsidRDefault="00A10B3F" w:rsidP="00A10B3F">
      <w:pPr>
        <w:rPr>
          <w:rFonts w:ascii="Arial" w:hAnsi="Arial" w:cs="Arial"/>
          <w:b/>
        </w:rPr>
      </w:pPr>
    </w:p>
    <w:p w:rsidR="00A10B3F" w:rsidRPr="00A10B3F" w:rsidRDefault="00A10B3F" w:rsidP="00A10B3F">
      <w:pPr>
        <w:rPr>
          <w:rFonts w:ascii="Arial" w:hAnsi="Arial" w:cs="Arial"/>
        </w:rPr>
      </w:pPr>
      <w:r w:rsidRPr="00A10B3F">
        <w:rPr>
          <w:rFonts w:ascii="Arial" w:hAnsi="Arial" w:cs="Arial"/>
        </w:rPr>
        <w:t>Activity data should be submitted on a monthly basis to the CCG</w:t>
      </w:r>
    </w:p>
    <w:p w:rsidR="00A10B3F" w:rsidRPr="00A10B3F" w:rsidRDefault="00A10B3F" w:rsidP="00A10B3F">
      <w:pPr>
        <w:rPr>
          <w:rFonts w:ascii="Arial" w:hAnsi="Arial" w:cs="Arial"/>
        </w:rPr>
      </w:pPr>
    </w:p>
    <w:p w:rsidR="00A10B3F" w:rsidRPr="00A10B3F" w:rsidRDefault="00A10B3F" w:rsidP="00A10B3F">
      <w:pPr>
        <w:rPr>
          <w:rFonts w:ascii="Arial" w:hAnsi="Arial" w:cs="Arial"/>
          <w:b/>
        </w:rPr>
      </w:pPr>
      <w:r w:rsidRPr="00A10B3F">
        <w:rPr>
          <w:rFonts w:ascii="Arial" w:hAnsi="Arial" w:cs="Arial"/>
        </w:rPr>
        <w:t>The practice will be required to submit audit information on request.</w:t>
      </w:r>
    </w:p>
    <w:p w:rsidR="00A10B3F" w:rsidRPr="00A10B3F" w:rsidRDefault="00A10B3F" w:rsidP="00A10B3F">
      <w:pPr>
        <w:rPr>
          <w:rFonts w:ascii="Arial" w:hAnsi="Arial" w:cs="Arial"/>
          <w:color w:val="FF0000"/>
        </w:rPr>
      </w:pPr>
    </w:p>
    <w:p w:rsidR="00A10B3F" w:rsidRDefault="00A10B3F" w:rsidP="00A10B3F">
      <w:pPr>
        <w:tabs>
          <w:tab w:val="left" w:pos="0"/>
        </w:tabs>
        <w:rPr>
          <w:rFonts w:ascii="Arial" w:hAnsi="Arial" w:cs="Arial"/>
        </w:rPr>
      </w:pPr>
      <w:r w:rsidRPr="00A10B3F">
        <w:rPr>
          <w:rFonts w:ascii="Arial" w:hAnsi="Arial" w:cs="Arial"/>
        </w:rPr>
        <w:t>Activity should be submitted within 14 days of month end for activity undertaken in month.</w:t>
      </w:r>
    </w:p>
    <w:p w:rsidR="001D598C" w:rsidRPr="00A10B3F" w:rsidRDefault="001D598C" w:rsidP="00A10B3F">
      <w:pPr>
        <w:tabs>
          <w:tab w:val="left" w:pos="0"/>
        </w:tabs>
        <w:rPr>
          <w:rFonts w:ascii="Arial" w:hAnsi="Arial" w:cs="Arial"/>
        </w:rPr>
      </w:pPr>
    </w:p>
    <w:p w:rsidR="00A10B3F" w:rsidRPr="00A10B3F" w:rsidRDefault="00F029CD" w:rsidP="00A10B3F">
      <w:pPr>
        <w:tabs>
          <w:tab w:val="left" w:pos="0"/>
        </w:tabs>
        <w:rPr>
          <w:rFonts w:ascii="Arial" w:hAnsi="Arial" w:cs="Arial"/>
        </w:rPr>
      </w:pPr>
      <w:r>
        <w:rPr>
          <w:rFonts w:ascii="Arial" w:hAnsi="Arial" w:cs="Arial"/>
        </w:rPr>
        <w:t>Activity for March 201</w:t>
      </w:r>
      <w:r w:rsidR="008C697B">
        <w:rPr>
          <w:rFonts w:ascii="Arial" w:hAnsi="Arial" w:cs="Arial"/>
        </w:rPr>
        <w:t>8</w:t>
      </w:r>
      <w:r w:rsidR="00A10B3F" w:rsidRPr="00A10B3F">
        <w:rPr>
          <w:rFonts w:ascii="Arial" w:hAnsi="Arial" w:cs="Arial"/>
        </w:rPr>
        <w:t xml:space="preserve"> should be submitted within 7 days of month end. DCCG reserve the right to withhold payment on activity not received within these time scales</w:t>
      </w:r>
    </w:p>
    <w:p w:rsidR="00097008" w:rsidRPr="00CF0AE5" w:rsidRDefault="00097008"/>
    <w:p w:rsidR="00097008" w:rsidRPr="0029372C" w:rsidRDefault="00097008">
      <w:pPr>
        <w:rPr>
          <w:sz w:val="22"/>
          <w:szCs w:val="22"/>
        </w:rPr>
      </w:pPr>
    </w:p>
    <w:sectPr w:rsidR="00097008" w:rsidRPr="0029372C" w:rsidSect="00B36437">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7F" w:rsidRDefault="00760D7F">
      <w:r>
        <w:separator/>
      </w:r>
    </w:p>
  </w:endnote>
  <w:endnote w:type="continuationSeparator" w:id="0">
    <w:p w:rsidR="00760D7F" w:rsidRDefault="0076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39521226"/>
      <w:docPartObj>
        <w:docPartGallery w:val="Page Numbers (Bottom of Page)"/>
        <w:docPartUnique/>
      </w:docPartObj>
    </w:sdtPr>
    <w:sdtEndPr>
      <w:rPr>
        <w:noProof/>
      </w:rPr>
    </w:sdtEndPr>
    <w:sdtContent>
      <w:p w:rsidR="00A11816" w:rsidRPr="00A11816" w:rsidRDefault="00A11816">
        <w:pPr>
          <w:pStyle w:val="Footer"/>
          <w:jc w:val="right"/>
          <w:rPr>
            <w:rFonts w:ascii="Arial" w:hAnsi="Arial" w:cs="Arial"/>
          </w:rPr>
        </w:pPr>
        <w:r w:rsidRPr="00A11816">
          <w:rPr>
            <w:rFonts w:ascii="Arial" w:hAnsi="Arial" w:cs="Arial"/>
          </w:rPr>
          <w:fldChar w:fldCharType="begin"/>
        </w:r>
        <w:r w:rsidRPr="00A11816">
          <w:rPr>
            <w:rFonts w:ascii="Arial" w:hAnsi="Arial" w:cs="Arial"/>
          </w:rPr>
          <w:instrText xml:space="preserve"> PAGE   \* MERGEFORMAT </w:instrText>
        </w:r>
        <w:r w:rsidRPr="00A11816">
          <w:rPr>
            <w:rFonts w:ascii="Arial" w:hAnsi="Arial" w:cs="Arial"/>
          </w:rPr>
          <w:fldChar w:fldCharType="separate"/>
        </w:r>
        <w:r>
          <w:rPr>
            <w:rFonts w:ascii="Arial" w:hAnsi="Arial" w:cs="Arial"/>
            <w:noProof/>
          </w:rPr>
          <w:t>1</w:t>
        </w:r>
        <w:r w:rsidRPr="00A11816">
          <w:rPr>
            <w:rFonts w:ascii="Arial" w:hAnsi="Arial" w:cs="Arial"/>
            <w:noProof/>
          </w:rPr>
          <w:fldChar w:fldCharType="end"/>
        </w:r>
      </w:p>
    </w:sdtContent>
  </w:sdt>
  <w:p w:rsidR="00A11816" w:rsidRDefault="00A1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7F" w:rsidRDefault="00760D7F">
      <w:r>
        <w:separator/>
      </w:r>
    </w:p>
  </w:footnote>
  <w:footnote w:type="continuationSeparator" w:id="0">
    <w:p w:rsidR="00760D7F" w:rsidRDefault="0076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4E" w:rsidRDefault="0029564E">
    <w:pPr>
      <w:pStyle w:val="Header"/>
      <w:rPr>
        <w:rFonts w:ascii="Arial" w:hAnsi="Arial" w:cs="Arial"/>
      </w:rPr>
    </w:pPr>
    <w:r>
      <w:tab/>
    </w:r>
  </w:p>
  <w:p w:rsidR="00C01167" w:rsidRPr="0029564E" w:rsidRDefault="00C0116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080"/>
    <w:multiLevelType w:val="hybridMultilevel"/>
    <w:tmpl w:val="996C7464"/>
    <w:lvl w:ilvl="0" w:tplc="04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6A0BD9"/>
    <w:multiLevelType w:val="hybridMultilevel"/>
    <w:tmpl w:val="752ED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04CD1"/>
    <w:multiLevelType w:val="hybridMultilevel"/>
    <w:tmpl w:val="29CCEF3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12C34"/>
    <w:multiLevelType w:val="hybridMultilevel"/>
    <w:tmpl w:val="DD662D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1A12AF"/>
    <w:multiLevelType w:val="hybridMultilevel"/>
    <w:tmpl w:val="12B04F0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6E4A66"/>
    <w:multiLevelType w:val="hybridMultilevel"/>
    <w:tmpl w:val="1FF8B4A4"/>
    <w:lvl w:ilvl="0" w:tplc="0409000F">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8090F59"/>
    <w:multiLevelType w:val="hybridMultilevel"/>
    <w:tmpl w:val="8F8C71A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DF791D"/>
    <w:multiLevelType w:val="hybridMultilevel"/>
    <w:tmpl w:val="E11A37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E94EBA"/>
    <w:multiLevelType w:val="hybridMultilevel"/>
    <w:tmpl w:val="E886E0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082A81"/>
    <w:multiLevelType w:val="hybridMultilevel"/>
    <w:tmpl w:val="239467E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7E3D06"/>
    <w:multiLevelType w:val="hybridMultilevel"/>
    <w:tmpl w:val="4F0878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C509C4"/>
    <w:multiLevelType w:val="hybridMultilevel"/>
    <w:tmpl w:val="75966D64"/>
    <w:lvl w:ilvl="0" w:tplc="19B6E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51709"/>
    <w:multiLevelType w:val="hybridMultilevel"/>
    <w:tmpl w:val="9DE0091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1476D1"/>
    <w:multiLevelType w:val="hybridMultilevel"/>
    <w:tmpl w:val="A4B085AC"/>
    <w:lvl w:ilvl="0" w:tplc="8A80CC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F3926CA"/>
    <w:multiLevelType w:val="hybridMultilevel"/>
    <w:tmpl w:val="8B04B6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892166"/>
    <w:multiLevelType w:val="hybridMultilevel"/>
    <w:tmpl w:val="7BDC0F5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3"/>
  </w:num>
  <w:num w:numId="4">
    <w:abstractNumId w:val="3"/>
  </w:num>
  <w:num w:numId="5">
    <w:abstractNumId w:val="14"/>
  </w:num>
  <w:num w:numId="6">
    <w:abstractNumId w:val="2"/>
  </w:num>
  <w:num w:numId="7">
    <w:abstractNumId w:val="12"/>
  </w:num>
  <w:num w:numId="8">
    <w:abstractNumId w:val="4"/>
  </w:num>
  <w:num w:numId="9">
    <w:abstractNumId w:val="15"/>
  </w:num>
  <w:num w:numId="10">
    <w:abstractNumId w:val="5"/>
  </w:num>
  <w:num w:numId="11">
    <w:abstractNumId w:val="9"/>
  </w:num>
  <w:num w:numId="12">
    <w:abstractNumId w:val="7"/>
  </w:num>
  <w:num w:numId="13">
    <w:abstractNumId w:val="10"/>
  </w:num>
  <w:num w:numId="14">
    <w:abstractNumId w:val="8"/>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BF"/>
    <w:rsid w:val="00071C49"/>
    <w:rsid w:val="00097008"/>
    <w:rsid w:val="001B4F96"/>
    <w:rsid w:val="001D598C"/>
    <w:rsid w:val="001F3454"/>
    <w:rsid w:val="002063E7"/>
    <w:rsid w:val="00230B1D"/>
    <w:rsid w:val="00292E47"/>
    <w:rsid w:val="0029372C"/>
    <w:rsid w:val="0029564E"/>
    <w:rsid w:val="002E6EB1"/>
    <w:rsid w:val="002F26CC"/>
    <w:rsid w:val="00353B37"/>
    <w:rsid w:val="003E32BF"/>
    <w:rsid w:val="003F674F"/>
    <w:rsid w:val="00444E81"/>
    <w:rsid w:val="004D1C85"/>
    <w:rsid w:val="004E2329"/>
    <w:rsid w:val="005515EB"/>
    <w:rsid w:val="0062726E"/>
    <w:rsid w:val="00637561"/>
    <w:rsid w:val="006B255A"/>
    <w:rsid w:val="00760D7F"/>
    <w:rsid w:val="007D17D9"/>
    <w:rsid w:val="0081112D"/>
    <w:rsid w:val="008941ED"/>
    <w:rsid w:val="008C697B"/>
    <w:rsid w:val="009948F8"/>
    <w:rsid w:val="00A10B3F"/>
    <w:rsid w:val="00A11816"/>
    <w:rsid w:val="00AD61C0"/>
    <w:rsid w:val="00B133DE"/>
    <w:rsid w:val="00B159CC"/>
    <w:rsid w:val="00B36437"/>
    <w:rsid w:val="00BD64E6"/>
    <w:rsid w:val="00C01167"/>
    <w:rsid w:val="00C531C1"/>
    <w:rsid w:val="00C824DD"/>
    <w:rsid w:val="00CC3CE3"/>
    <w:rsid w:val="00CF0AE5"/>
    <w:rsid w:val="00D55A6E"/>
    <w:rsid w:val="00DA21C6"/>
    <w:rsid w:val="00F029CD"/>
    <w:rsid w:val="00F14664"/>
    <w:rsid w:val="00F44D24"/>
    <w:rsid w:val="00F760B1"/>
    <w:rsid w:val="00FE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ind w:left="360" w:hanging="360"/>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sz w:val="36"/>
    </w:rPr>
  </w:style>
  <w:style w:type="paragraph" w:styleId="Heading4">
    <w:name w:val="heading 4"/>
    <w:basedOn w:val="Normal"/>
    <w:next w:val="Normal"/>
    <w:qFormat/>
    <w:pPr>
      <w:keepNext/>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Indent2">
    <w:name w:val="Body Text Indent 2"/>
    <w:basedOn w:val="Normal"/>
    <w:pPr>
      <w:ind w:left="720"/>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9564E"/>
    <w:pPr>
      <w:tabs>
        <w:tab w:val="center" w:pos="4153"/>
        <w:tab w:val="right" w:pos="8306"/>
      </w:tabs>
    </w:pPr>
  </w:style>
  <w:style w:type="paragraph" w:styleId="Footer">
    <w:name w:val="footer"/>
    <w:basedOn w:val="Normal"/>
    <w:link w:val="FooterChar"/>
    <w:uiPriority w:val="99"/>
    <w:rsid w:val="0029564E"/>
    <w:pPr>
      <w:tabs>
        <w:tab w:val="center" w:pos="4153"/>
        <w:tab w:val="right" w:pos="8306"/>
      </w:tabs>
    </w:pPr>
  </w:style>
  <w:style w:type="paragraph" w:styleId="BalloonText">
    <w:name w:val="Balloon Text"/>
    <w:basedOn w:val="Normal"/>
    <w:link w:val="BalloonTextChar"/>
    <w:rsid w:val="00DA21C6"/>
    <w:rPr>
      <w:rFonts w:ascii="Tahoma" w:hAnsi="Tahoma" w:cs="Tahoma"/>
      <w:sz w:val="16"/>
      <w:szCs w:val="16"/>
    </w:rPr>
  </w:style>
  <w:style w:type="character" w:customStyle="1" w:styleId="BalloonTextChar">
    <w:name w:val="Balloon Text Char"/>
    <w:basedOn w:val="DefaultParagraphFont"/>
    <w:link w:val="BalloonText"/>
    <w:rsid w:val="00DA21C6"/>
    <w:rPr>
      <w:rFonts w:ascii="Tahoma" w:hAnsi="Tahoma" w:cs="Tahoma"/>
      <w:sz w:val="16"/>
      <w:szCs w:val="16"/>
      <w:lang w:eastAsia="en-US"/>
    </w:rPr>
  </w:style>
  <w:style w:type="character" w:customStyle="1" w:styleId="FooterChar">
    <w:name w:val="Footer Char"/>
    <w:basedOn w:val="DefaultParagraphFont"/>
    <w:link w:val="Footer"/>
    <w:uiPriority w:val="99"/>
    <w:rsid w:val="00A1181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ind w:left="360" w:hanging="360"/>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sz w:val="36"/>
    </w:rPr>
  </w:style>
  <w:style w:type="paragraph" w:styleId="Heading4">
    <w:name w:val="heading 4"/>
    <w:basedOn w:val="Normal"/>
    <w:next w:val="Normal"/>
    <w:qFormat/>
    <w:pPr>
      <w:keepNext/>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Indent2">
    <w:name w:val="Body Text Indent 2"/>
    <w:basedOn w:val="Normal"/>
    <w:pPr>
      <w:ind w:left="720"/>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9564E"/>
    <w:pPr>
      <w:tabs>
        <w:tab w:val="center" w:pos="4153"/>
        <w:tab w:val="right" w:pos="8306"/>
      </w:tabs>
    </w:pPr>
  </w:style>
  <w:style w:type="paragraph" w:styleId="Footer">
    <w:name w:val="footer"/>
    <w:basedOn w:val="Normal"/>
    <w:link w:val="FooterChar"/>
    <w:uiPriority w:val="99"/>
    <w:rsid w:val="0029564E"/>
    <w:pPr>
      <w:tabs>
        <w:tab w:val="center" w:pos="4153"/>
        <w:tab w:val="right" w:pos="8306"/>
      </w:tabs>
    </w:pPr>
  </w:style>
  <w:style w:type="paragraph" w:styleId="BalloonText">
    <w:name w:val="Balloon Text"/>
    <w:basedOn w:val="Normal"/>
    <w:link w:val="BalloonTextChar"/>
    <w:rsid w:val="00DA21C6"/>
    <w:rPr>
      <w:rFonts w:ascii="Tahoma" w:hAnsi="Tahoma" w:cs="Tahoma"/>
      <w:sz w:val="16"/>
      <w:szCs w:val="16"/>
    </w:rPr>
  </w:style>
  <w:style w:type="character" w:customStyle="1" w:styleId="BalloonTextChar">
    <w:name w:val="Balloon Text Char"/>
    <w:basedOn w:val="DefaultParagraphFont"/>
    <w:link w:val="BalloonText"/>
    <w:rsid w:val="00DA21C6"/>
    <w:rPr>
      <w:rFonts w:ascii="Tahoma" w:hAnsi="Tahoma" w:cs="Tahoma"/>
      <w:sz w:val="16"/>
      <w:szCs w:val="16"/>
      <w:lang w:eastAsia="en-US"/>
    </w:rPr>
  </w:style>
  <w:style w:type="character" w:customStyle="1" w:styleId="FooterChar">
    <w:name w:val="Footer Char"/>
    <w:basedOn w:val="DefaultParagraphFont"/>
    <w:link w:val="Footer"/>
    <w:uiPriority w:val="99"/>
    <w:rsid w:val="00A118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immunisation-against-infectious-disease-the-green-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Local Enhanced Service</vt:lpstr>
    </vt:vector>
  </TitlesOfParts>
  <Company>Doncaster Central PCT</Company>
  <LinksUpToDate>false</LinksUpToDate>
  <CharactersWithSpaces>3787</CharactersWithSpaces>
  <SharedDoc>false</SharedDoc>
  <HLinks>
    <vt:vector size="6" baseType="variant">
      <vt:variant>
        <vt:i4>1835011</vt:i4>
      </vt:variant>
      <vt:variant>
        <vt:i4>0</vt:i4>
      </vt:variant>
      <vt:variant>
        <vt:i4>0</vt:i4>
      </vt:variant>
      <vt:variant>
        <vt:i4>5</vt:i4>
      </vt:variant>
      <vt:variant>
        <vt:lpwstr>https://www.gov.uk/government/collections/immunisation-against-infectious-disease-the-green-book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Enhanced Service</dc:title>
  <dc:creator>St Vincent Practice</dc:creator>
  <cp:lastModifiedBy>Wastnage, Kayleigh</cp:lastModifiedBy>
  <cp:revision>6</cp:revision>
  <cp:lastPrinted>2011-07-25T13:41:00Z</cp:lastPrinted>
  <dcterms:created xsi:type="dcterms:W3CDTF">2016-01-08T11:58:00Z</dcterms:created>
  <dcterms:modified xsi:type="dcterms:W3CDTF">2017-01-30T13:04:00Z</dcterms:modified>
</cp:coreProperties>
</file>